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EDAE" w14:textId="0831E034" w:rsidR="00961584" w:rsidRPr="00EF2B9F" w:rsidRDefault="00961584" w:rsidP="00CC21C7">
      <w:pPr>
        <w:jc w:val="center"/>
        <w:rPr>
          <w:rFonts w:ascii="Tahoma" w:hAnsi="Tahoma" w:cs="Tahoma"/>
          <w:b/>
          <w:bCs/>
        </w:rPr>
      </w:pPr>
      <w:bookmarkStart w:id="0" w:name="_Hlk196910422"/>
      <w:r w:rsidRPr="00CC21C7">
        <w:rPr>
          <w:rFonts w:ascii="Tahoma" w:hAnsi="Tahoma" w:cs="Tahoma"/>
          <w:b/>
          <w:bCs/>
        </w:rPr>
        <w:t>CONVOCATORIA OPD/CMD/SC/04</w:t>
      </w:r>
      <w:r w:rsidR="005F452A">
        <w:rPr>
          <w:rFonts w:ascii="Tahoma" w:hAnsi="Tahoma" w:cs="Tahoma"/>
          <w:b/>
          <w:bCs/>
        </w:rPr>
        <w:t>9</w:t>
      </w:r>
      <w:r w:rsidRPr="00CC21C7">
        <w:rPr>
          <w:rFonts w:ascii="Tahoma" w:hAnsi="Tahoma" w:cs="Tahoma"/>
          <w:b/>
          <w:bCs/>
        </w:rPr>
        <w:t xml:space="preserve">/2025 </w:t>
      </w:r>
      <w:bookmarkStart w:id="1" w:name="_Hlk191642343"/>
      <w:r w:rsidR="00743A35" w:rsidRPr="00CC21C7">
        <w:rPr>
          <w:rFonts w:ascii="Tahoma" w:hAnsi="Tahoma" w:cs="Tahoma"/>
          <w:b/>
          <w:bCs/>
        </w:rPr>
        <w:t>“ADQUISICIÓN DE ARTICULOS DE IMPRESOS PARA EL CONSEJO MUNICIPAL DEL DEPORTE (COMUDE) DE TLAJOMULCO DE ZÚÑIGA, JALISCO”</w:t>
      </w:r>
    </w:p>
    <w:bookmarkEnd w:id="0"/>
    <w:bookmarkEnd w:id="1"/>
    <w:p w14:paraId="0045FA97" w14:textId="77777777" w:rsidR="00961584" w:rsidRPr="00522C2D" w:rsidRDefault="00961584" w:rsidP="00961584">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2" w:name="_Hlk181781580"/>
      <w:r w:rsidRPr="00522C2D">
        <w:rPr>
          <w:rFonts w:ascii="Arial" w:eastAsia="Times New Roman" w:hAnsi="Arial" w:cs="Arial"/>
          <w:kern w:val="0"/>
          <w:szCs w:val="20"/>
          <w:lang w:eastAsia="es-MX"/>
          <w14:ligatures w14:val="none"/>
        </w:rPr>
        <w:t>calle Constitución Oriente no. 157, Int. B, en el Municipio d</w:t>
      </w:r>
      <w:bookmarkStart w:id="3" w:name="_Hlk182046638"/>
      <w:r w:rsidRPr="00522C2D">
        <w:rPr>
          <w:rFonts w:ascii="Arial" w:eastAsia="Times New Roman" w:hAnsi="Arial" w:cs="Arial"/>
          <w:kern w:val="0"/>
          <w:szCs w:val="20"/>
          <w:lang w:eastAsia="es-MX"/>
          <w14:ligatures w14:val="none"/>
        </w:rPr>
        <w:t>e Tlajomulco de Zúñiga, Jalisco</w:t>
      </w:r>
      <w:bookmarkEnd w:id="3"/>
      <w:r w:rsidRPr="00522C2D">
        <w:rPr>
          <w:rFonts w:ascii="Arial" w:eastAsia="Times New Roman" w:hAnsi="Arial" w:cs="Arial"/>
          <w:kern w:val="0"/>
          <w:szCs w:val="20"/>
          <w:lang w:eastAsia="es-MX"/>
          <w14:ligatures w14:val="none"/>
        </w:rPr>
        <w:t xml:space="preserve">, </w:t>
      </w:r>
      <w:bookmarkEnd w:id="2"/>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7AB262F" w14:textId="77777777" w:rsidR="00961584" w:rsidRPr="00522C2D" w:rsidRDefault="00961584" w:rsidP="00961584">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961584" w:rsidRPr="00522C2D" w14:paraId="1214F214" w14:textId="77777777" w:rsidTr="003A5C89">
        <w:trPr>
          <w:trHeight w:val="340"/>
        </w:trPr>
        <w:tc>
          <w:tcPr>
            <w:tcW w:w="4390" w:type="dxa"/>
          </w:tcPr>
          <w:p w14:paraId="1BE49CD0" w14:textId="77777777" w:rsidR="00961584" w:rsidRPr="00CF592E" w:rsidRDefault="00961584" w:rsidP="003A5C89">
            <w:pPr>
              <w:rPr>
                <w:rFonts w:ascii="Arial" w:eastAsia="Calibri" w:hAnsi="Arial" w:cs="Arial"/>
                <w:lang w:eastAsia="es-ES"/>
              </w:rPr>
            </w:pPr>
            <w:r w:rsidRPr="00CF592E">
              <w:rPr>
                <w:rFonts w:ascii="Arial" w:eastAsia="Calibri" w:hAnsi="Arial" w:cs="Arial"/>
                <w:lang w:eastAsia="es-ES"/>
              </w:rPr>
              <w:t xml:space="preserve">Origen de los Recursos </w:t>
            </w:r>
          </w:p>
        </w:tc>
        <w:tc>
          <w:tcPr>
            <w:tcW w:w="4677" w:type="dxa"/>
          </w:tcPr>
          <w:p w14:paraId="2C60A133"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 xml:space="preserve">Municipal </w:t>
            </w:r>
          </w:p>
        </w:tc>
      </w:tr>
      <w:tr w:rsidR="00961584" w:rsidRPr="00522C2D" w14:paraId="127ABB4C" w14:textId="77777777" w:rsidTr="003A5C89">
        <w:tc>
          <w:tcPr>
            <w:tcW w:w="4390" w:type="dxa"/>
          </w:tcPr>
          <w:p w14:paraId="4897A6DB"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 xml:space="preserve">Carácter de la Licitación </w:t>
            </w:r>
          </w:p>
        </w:tc>
        <w:tc>
          <w:tcPr>
            <w:tcW w:w="4677" w:type="dxa"/>
          </w:tcPr>
          <w:p w14:paraId="7CE9053C"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Local</w:t>
            </w:r>
          </w:p>
        </w:tc>
      </w:tr>
      <w:tr w:rsidR="00961584" w:rsidRPr="00522C2D" w14:paraId="5DE4E145" w14:textId="77777777" w:rsidTr="003A5C89">
        <w:tc>
          <w:tcPr>
            <w:tcW w:w="4390" w:type="dxa"/>
          </w:tcPr>
          <w:p w14:paraId="097006B0"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 xml:space="preserve">Ejercicio Fiscal que abarca la Contratación </w:t>
            </w:r>
          </w:p>
        </w:tc>
        <w:tc>
          <w:tcPr>
            <w:tcW w:w="4677" w:type="dxa"/>
          </w:tcPr>
          <w:p w14:paraId="29BD4AA2"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2025</w:t>
            </w:r>
          </w:p>
        </w:tc>
      </w:tr>
      <w:tr w:rsidR="00961584" w:rsidRPr="00522C2D" w14:paraId="5AAFD69F" w14:textId="77777777" w:rsidTr="003A5C89">
        <w:tc>
          <w:tcPr>
            <w:tcW w:w="4390" w:type="dxa"/>
          </w:tcPr>
          <w:p w14:paraId="30A30BA7"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Tipo de Contrato o Pedido (Orden de Compra)</w:t>
            </w:r>
          </w:p>
        </w:tc>
        <w:tc>
          <w:tcPr>
            <w:tcW w:w="4677" w:type="dxa"/>
          </w:tcPr>
          <w:p w14:paraId="7A02DB9C"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Cerrado</w:t>
            </w:r>
          </w:p>
        </w:tc>
      </w:tr>
      <w:tr w:rsidR="00961584" w:rsidRPr="00522C2D" w14:paraId="49BB2A6D" w14:textId="77777777" w:rsidTr="003A5C89">
        <w:tc>
          <w:tcPr>
            <w:tcW w:w="4390" w:type="dxa"/>
          </w:tcPr>
          <w:p w14:paraId="26C981C8"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 xml:space="preserve">Adjudicación de los Bienes o Servicios </w:t>
            </w:r>
          </w:p>
        </w:tc>
        <w:tc>
          <w:tcPr>
            <w:tcW w:w="4677" w:type="dxa"/>
          </w:tcPr>
          <w:p w14:paraId="1B849E57" w14:textId="77777777" w:rsidR="00961584" w:rsidRPr="00CF592E" w:rsidRDefault="00961584" w:rsidP="003A5C89">
            <w:pPr>
              <w:jc w:val="both"/>
              <w:rPr>
                <w:rFonts w:ascii="Arial" w:eastAsia="Calibri" w:hAnsi="Arial" w:cs="Arial"/>
                <w:b/>
                <w:lang w:eastAsia="es-ES"/>
              </w:rPr>
            </w:pPr>
            <w:r w:rsidRPr="00CF592E">
              <w:rPr>
                <w:rFonts w:ascii="Arial" w:eastAsia="Calibri" w:hAnsi="Arial" w:cs="Arial"/>
                <w:b/>
                <w:lang w:eastAsia="es-ES"/>
              </w:rPr>
              <w:t>Se adjudicará a un solo proveedor.</w:t>
            </w:r>
          </w:p>
        </w:tc>
      </w:tr>
      <w:tr w:rsidR="00961584" w:rsidRPr="00522C2D" w14:paraId="23C306E2" w14:textId="77777777" w:rsidTr="003A5C89">
        <w:tc>
          <w:tcPr>
            <w:tcW w:w="4390" w:type="dxa"/>
          </w:tcPr>
          <w:p w14:paraId="2C5761A1"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La partida presupuestal, de conformidad con el clasificador por objeto del gasto</w:t>
            </w:r>
          </w:p>
        </w:tc>
        <w:tc>
          <w:tcPr>
            <w:tcW w:w="4677" w:type="dxa"/>
          </w:tcPr>
          <w:p w14:paraId="5A192C71" w14:textId="77777777" w:rsidR="005F452A" w:rsidRDefault="005F452A" w:rsidP="003A5C89">
            <w:pPr>
              <w:jc w:val="both"/>
              <w:rPr>
                <w:rFonts w:ascii="Arial" w:eastAsia="Calibri" w:hAnsi="Arial" w:cs="Arial"/>
                <w:lang w:eastAsia="es-ES"/>
              </w:rPr>
            </w:pPr>
            <w:r>
              <w:rPr>
                <w:rFonts w:ascii="Arial" w:eastAsia="Calibri" w:hAnsi="Arial" w:cs="Arial"/>
                <w:lang w:eastAsia="es-ES"/>
              </w:rPr>
              <w:t>2121</w:t>
            </w:r>
          </w:p>
          <w:p w14:paraId="2F4922A6" w14:textId="7FD2EE9E" w:rsidR="00961584" w:rsidRPr="00CF592E" w:rsidRDefault="00961584" w:rsidP="003A5C89">
            <w:pPr>
              <w:jc w:val="both"/>
              <w:rPr>
                <w:rFonts w:ascii="Arial" w:eastAsia="Calibri" w:hAnsi="Arial" w:cs="Arial"/>
                <w:lang w:eastAsia="es-ES"/>
              </w:rPr>
            </w:pPr>
            <w:r w:rsidRPr="00CC21C7">
              <w:rPr>
                <w:rFonts w:ascii="Arial" w:eastAsia="Calibri" w:hAnsi="Arial" w:cs="Arial"/>
                <w:lang w:eastAsia="es-ES"/>
              </w:rPr>
              <w:t>2</w:t>
            </w:r>
            <w:r w:rsidR="005F452A">
              <w:rPr>
                <w:rFonts w:ascii="Arial" w:eastAsia="Calibri" w:hAnsi="Arial" w:cs="Arial"/>
                <w:lang w:eastAsia="es-ES"/>
              </w:rPr>
              <w:t>155</w:t>
            </w:r>
          </w:p>
        </w:tc>
      </w:tr>
      <w:tr w:rsidR="00961584" w:rsidRPr="00522C2D" w14:paraId="7F75146E" w14:textId="77777777" w:rsidTr="003A5C89">
        <w:tc>
          <w:tcPr>
            <w:tcW w:w="4390" w:type="dxa"/>
          </w:tcPr>
          <w:p w14:paraId="0BEBD802"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 xml:space="preserve">Criterio de evaluación de propuestas </w:t>
            </w:r>
          </w:p>
        </w:tc>
        <w:tc>
          <w:tcPr>
            <w:tcW w:w="4677" w:type="dxa"/>
          </w:tcPr>
          <w:p w14:paraId="71CA7846" w14:textId="77777777" w:rsidR="00961584" w:rsidRPr="00CF592E" w:rsidRDefault="00961584" w:rsidP="003A5C89">
            <w:pPr>
              <w:jc w:val="both"/>
              <w:rPr>
                <w:rFonts w:ascii="Arial" w:eastAsia="Calibri" w:hAnsi="Arial" w:cs="Arial"/>
                <w:lang w:eastAsia="es-ES"/>
              </w:rPr>
            </w:pPr>
            <w:r w:rsidRPr="00CF592E">
              <w:rPr>
                <w:rFonts w:ascii="Arial" w:eastAsia="Calibri" w:hAnsi="Arial" w:cs="Arial"/>
                <w:lang w:eastAsia="es-ES"/>
              </w:rPr>
              <w:t>Binario</w:t>
            </w:r>
          </w:p>
        </w:tc>
      </w:tr>
      <w:tr w:rsidR="00961584" w:rsidRPr="00522C2D" w14:paraId="72677E47" w14:textId="77777777" w:rsidTr="003A5C89">
        <w:tc>
          <w:tcPr>
            <w:tcW w:w="4390" w:type="dxa"/>
          </w:tcPr>
          <w:p w14:paraId="499DBBAB" w14:textId="77777777" w:rsidR="00961584" w:rsidRPr="00CF592E" w:rsidRDefault="00961584" w:rsidP="003A5C89">
            <w:pPr>
              <w:jc w:val="both"/>
              <w:rPr>
                <w:rFonts w:ascii="Arial" w:eastAsia="Calibri" w:hAnsi="Arial" w:cs="Arial"/>
              </w:rPr>
            </w:pPr>
            <w:r w:rsidRPr="00CF592E">
              <w:rPr>
                <w:rFonts w:ascii="Arial" w:eastAsia="Calibri" w:hAnsi="Arial" w:cs="Arial"/>
              </w:rPr>
              <w:t>Fecha de Publicación</w:t>
            </w:r>
          </w:p>
        </w:tc>
        <w:tc>
          <w:tcPr>
            <w:tcW w:w="4677" w:type="dxa"/>
          </w:tcPr>
          <w:p w14:paraId="433564C4" w14:textId="7607EF99" w:rsidR="00961584" w:rsidRPr="00600991" w:rsidRDefault="00E06766" w:rsidP="003A5C89">
            <w:pPr>
              <w:spacing w:after="200" w:line="276" w:lineRule="auto"/>
              <w:jc w:val="both"/>
              <w:rPr>
                <w:rFonts w:ascii="Arial" w:eastAsia="Calibri" w:hAnsi="Arial" w:cs="Arial"/>
                <w:color w:val="000000"/>
              </w:rPr>
            </w:pPr>
            <w:r>
              <w:rPr>
                <w:rFonts w:ascii="Arial" w:eastAsia="Calibri" w:hAnsi="Arial" w:cs="Arial"/>
                <w:color w:val="000000"/>
              </w:rPr>
              <w:t>1</w:t>
            </w:r>
            <w:r w:rsidR="00C176E7">
              <w:rPr>
                <w:rFonts w:ascii="Arial" w:eastAsia="Calibri" w:hAnsi="Arial" w:cs="Arial"/>
                <w:color w:val="000000"/>
              </w:rPr>
              <w:t>5 d</w:t>
            </w:r>
            <w:r w:rsidR="00961584">
              <w:rPr>
                <w:rFonts w:ascii="Arial" w:eastAsia="Calibri" w:hAnsi="Arial" w:cs="Arial"/>
                <w:color w:val="000000"/>
              </w:rPr>
              <w:t>e agosto</w:t>
            </w:r>
            <w:r w:rsidR="00961584" w:rsidRPr="00CF592E">
              <w:rPr>
                <w:rFonts w:ascii="Arial" w:eastAsia="Calibri" w:hAnsi="Arial" w:cs="Arial"/>
                <w:color w:val="000000"/>
              </w:rPr>
              <w:t xml:space="preserve"> del </w:t>
            </w:r>
            <w:r w:rsidR="00961584">
              <w:rPr>
                <w:rFonts w:ascii="Arial" w:eastAsia="Calibri" w:hAnsi="Arial" w:cs="Arial"/>
                <w:color w:val="000000"/>
              </w:rPr>
              <w:t xml:space="preserve">año </w:t>
            </w:r>
            <w:r w:rsidR="00961584" w:rsidRPr="00CF592E">
              <w:rPr>
                <w:rFonts w:ascii="Arial" w:eastAsia="Calibri" w:hAnsi="Arial" w:cs="Arial"/>
                <w:color w:val="000000"/>
              </w:rPr>
              <w:t>2025</w:t>
            </w:r>
          </w:p>
        </w:tc>
      </w:tr>
      <w:tr w:rsidR="00961584" w:rsidRPr="00522C2D" w14:paraId="32BDBCBE" w14:textId="77777777" w:rsidTr="003A5C89">
        <w:tc>
          <w:tcPr>
            <w:tcW w:w="4390" w:type="dxa"/>
          </w:tcPr>
          <w:p w14:paraId="07646A26" w14:textId="77777777" w:rsidR="00961584" w:rsidRPr="00CF592E" w:rsidRDefault="00961584" w:rsidP="003A5C89">
            <w:pPr>
              <w:pStyle w:val="Sinespaciado"/>
              <w:rPr>
                <w:rFonts w:ascii="Arial" w:hAnsi="Arial" w:cs="Arial"/>
              </w:rPr>
            </w:pPr>
            <w:r w:rsidRPr="00CF592E">
              <w:rPr>
                <w:rFonts w:ascii="Arial" w:hAnsi="Arial" w:cs="Arial"/>
              </w:rPr>
              <w:t>Aclaraciones</w:t>
            </w:r>
          </w:p>
        </w:tc>
        <w:tc>
          <w:tcPr>
            <w:tcW w:w="4677" w:type="dxa"/>
          </w:tcPr>
          <w:p w14:paraId="3248ED20" w14:textId="77777777" w:rsidR="00961584" w:rsidRPr="00CF592E" w:rsidRDefault="00961584" w:rsidP="003A5C89">
            <w:pPr>
              <w:pStyle w:val="Sinespaciado"/>
              <w:rPr>
                <w:rFonts w:ascii="Arial" w:hAnsi="Arial" w:cs="Arial"/>
                <w:color w:val="000000"/>
              </w:rPr>
            </w:pPr>
            <w:r w:rsidRPr="00CF592E">
              <w:rPr>
                <w:rFonts w:ascii="Arial" w:hAnsi="Arial" w:cs="Arial"/>
              </w:rPr>
              <w:t>Al teléfono 01 (33) 32834400 Ext. 3263 o al correo electrónico: comprascomude@tlajomulco.gob.mx</w:t>
            </w:r>
          </w:p>
        </w:tc>
      </w:tr>
      <w:tr w:rsidR="00961584" w:rsidRPr="00522C2D" w14:paraId="54E8B743" w14:textId="77777777" w:rsidTr="003A5C89">
        <w:trPr>
          <w:trHeight w:val="1442"/>
        </w:trPr>
        <w:tc>
          <w:tcPr>
            <w:tcW w:w="4390" w:type="dxa"/>
          </w:tcPr>
          <w:p w14:paraId="33FE8FE1" w14:textId="77777777" w:rsidR="00961584" w:rsidRPr="00CF592E" w:rsidRDefault="00961584" w:rsidP="003A5C89">
            <w:pPr>
              <w:spacing w:after="200"/>
              <w:jc w:val="both"/>
              <w:rPr>
                <w:rFonts w:ascii="Arial" w:eastAsia="Calibri" w:hAnsi="Arial" w:cs="Arial"/>
              </w:rPr>
            </w:pPr>
            <w:r w:rsidRPr="00CF592E">
              <w:rPr>
                <w:rFonts w:ascii="Arial" w:eastAsia="Calibri" w:hAnsi="Arial" w:cs="Arial"/>
              </w:rPr>
              <w:t xml:space="preserve">Fecha y hora límite para entrega de propuestas </w:t>
            </w:r>
          </w:p>
        </w:tc>
        <w:tc>
          <w:tcPr>
            <w:tcW w:w="4677" w:type="dxa"/>
          </w:tcPr>
          <w:p w14:paraId="47E26FD2" w14:textId="0FDD690E" w:rsidR="00961584" w:rsidRPr="00283F7E" w:rsidRDefault="00C176E7" w:rsidP="003A5C89">
            <w:pPr>
              <w:spacing w:after="200"/>
              <w:jc w:val="both"/>
              <w:rPr>
                <w:rFonts w:ascii="Arial" w:eastAsia="Calibri" w:hAnsi="Arial" w:cs="Arial"/>
                <w:color w:val="000000"/>
              </w:rPr>
            </w:pPr>
            <w:r>
              <w:rPr>
                <w:rFonts w:ascii="Arial" w:eastAsia="Calibri" w:hAnsi="Arial" w:cs="Arial"/>
                <w:color w:val="000000"/>
              </w:rPr>
              <w:t>20</w:t>
            </w:r>
            <w:r w:rsidR="00961584" w:rsidRPr="00E06766">
              <w:rPr>
                <w:rFonts w:ascii="Arial" w:eastAsia="Calibri" w:hAnsi="Arial" w:cs="Arial"/>
                <w:color w:val="000000"/>
              </w:rPr>
              <w:t xml:space="preserve"> de agosto</w:t>
            </w:r>
            <w:r w:rsidR="00961584" w:rsidRPr="00283F7E">
              <w:rPr>
                <w:rFonts w:ascii="Arial" w:eastAsia="Calibri" w:hAnsi="Arial" w:cs="Arial"/>
                <w:color w:val="000000"/>
              </w:rPr>
              <w:t xml:space="preserve"> del</w:t>
            </w:r>
            <w:r w:rsidR="00961584">
              <w:rPr>
                <w:rFonts w:ascii="Arial" w:eastAsia="Calibri" w:hAnsi="Arial" w:cs="Arial"/>
                <w:color w:val="000000"/>
              </w:rPr>
              <w:t xml:space="preserve"> año</w:t>
            </w:r>
            <w:r w:rsidR="00961584" w:rsidRPr="00283F7E">
              <w:rPr>
                <w:rFonts w:ascii="Arial" w:eastAsia="Calibri" w:hAnsi="Arial" w:cs="Arial"/>
                <w:color w:val="000000"/>
              </w:rPr>
              <w:t xml:space="preserve"> 2025 a las </w:t>
            </w:r>
            <w:r w:rsidR="00961584" w:rsidRPr="00283F7E">
              <w:rPr>
                <w:rFonts w:ascii="Arial" w:eastAsia="Calibri" w:hAnsi="Arial" w:cs="Arial"/>
              </w:rPr>
              <w:t xml:space="preserve">13:00 horas, Oficinas del Órgano de Control Interno de Tlajomulco de Zúñiga, ubicado en calle </w:t>
            </w:r>
            <w:r w:rsidR="00961584">
              <w:rPr>
                <w:rFonts w:ascii="Arial" w:eastAsia="Calibri" w:hAnsi="Arial" w:cs="Arial"/>
              </w:rPr>
              <w:t>Vallarta poniente #59</w:t>
            </w:r>
            <w:r w:rsidR="00961584" w:rsidRPr="00283F7E">
              <w:rPr>
                <w:rFonts w:ascii="Arial" w:eastAsia="Calibri" w:hAnsi="Arial" w:cs="Arial"/>
              </w:rPr>
              <w:t>, colonia centro, en Tlajomulco de Zúñiga, Jalisco.</w:t>
            </w:r>
          </w:p>
        </w:tc>
      </w:tr>
      <w:tr w:rsidR="00961584" w:rsidRPr="00522C2D" w14:paraId="04110E65" w14:textId="77777777" w:rsidTr="003A5C89">
        <w:trPr>
          <w:trHeight w:val="1233"/>
        </w:trPr>
        <w:tc>
          <w:tcPr>
            <w:tcW w:w="4390" w:type="dxa"/>
          </w:tcPr>
          <w:p w14:paraId="7ECB555C" w14:textId="77777777" w:rsidR="00961584" w:rsidRPr="00CF592E" w:rsidRDefault="00961584" w:rsidP="003A5C89">
            <w:pPr>
              <w:spacing w:after="200"/>
              <w:jc w:val="both"/>
              <w:rPr>
                <w:rFonts w:ascii="Arial" w:eastAsia="Calibri" w:hAnsi="Arial" w:cs="Arial"/>
              </w:rPr>
            </w:pPr>
            <w:r w:rsidRPr="00CF592E">
              <w:rPr>
                <w:rFonts w:ascii="Arial" w:eastAsia="Calibri" w:hAnsi="Arial" w:cs="Arial"/>
              </w:rPr>
              <w:t>Apertura de propuestas. Se invita a los licitantes a participar en el evento</w:t>
            </w:r>
          </w:p>
        </w:tc>
        <w:tc>
          <w:tcPr>
            <w:tcW w:w="4677" w:type="dxa"/>
          </w:tcPr>
          <w:p w14:paraId="5996AA53" w14:textId="41FED6B5" w:rsidR="00961584" w:rsidRPr="00CF592E" w:rsidRDefault="00C176E7" w:rsidP="003A5C89">
            <w:pPr>
              <w:spacing w:after="200"/>
              <w:jc w:val="both"/>
              <w:rPr>
                <w:rFonts w:ascii="Arial" w:eastAsia="Calibri" w:hAnsi="Arial" w:cs="Arial"/>
                <w:color w:val="000000"/>
              </w:rPr>
            </w:pPr>
            <w:r>
              <w:rPr>
                <w:rFonts w:ascii="Arial" w:eastAsia="Calibri" w:hAnsi="Arial" w:cs="Arial"/>
                <w:color w:val="000000"/>
              </w:rPr>
              <w:t>20</w:t>
            </w:r>
            <w:r w:rsidR="00961584" w:rsidRPr="00E06766">
              <w:rPr>
                <w:rFonts w:ascii="Arial" w:eastAsia="Calibri" w:hAnsi="Arial" w:cs="Arial"/>
                <w:color w:val="000000"/>
              </w:rPr>
              <w:t xml:space="preserve"> de agosto</w:t>
            </w:r>
            <w:r w:rsidR="00961584">
              <w:rPr>
                <w:rFonts w:ascii="Arial" w:eastAsia="Calibri" w:hAnsi="Arial" w:cs="Arial"/>
                <w:color w:val="000000"/>
              </w:rPr>
              <w:t xml:space="preserve"> </w:t>
            </w:r>
            <w:r w:rsidR="00961584" w:rsidRPr="00CF592E">
              <w:rPr>
                <w:rFonts w:ascii="Arial" w:eastAsia="Calibri" w:hAnsi="Arial" w:cs="Arial"/>
                <w:color w:val="000000"/>
              </w:rPr>
              <w:t>de</w:t>
            </w:r>
            <w:r w:rsidR="00961584">
              <w:rPr>
                <w:rFonts w:ascii="Arial" w:eastAsia="Calibri" w:hAnsi="Arial" w:cs="Arial"/>
                <w:color w:val="000000"/>
              </w:rPr>
              <w:t xml:space="preserve">l año </w:t>
            </w:r>
            <w:r w:rsidR="00961584" w:rsidRPr="00CF592E">
              <w:rPr>
                <w:rFonts w:ascii="Arial" w:eastAsia="Calibri" w:hAnsi="Arial" w:cs="Arial"/>
                <w:color w:val="000000"/>
              </w:rPr>
              <w:t xml:space="preserve">2025, a las </w:t>
            </w:r>
            <w:r w:rsidR="00961584" w:rsidRPr="00CF592E">
              <w:rPr>
                <w:rFonts w:ascii="Arial" w:eastAsia="Calibri" w:hAnsi="Arial" w:cs="Arial"/>
              </w:rPr>
              <w:t xml:space="preserve">13:10 horas, Oficinas del Órgano de Control Interno de Tlajomulco de Zúñiga, ubicado en calle </w:t>
            </w:r>
            <w:r w:rsidR="00961584">
              <w:rPr>
                <w:rFonts w:ascii="Arial" w:eastAsia="Calibri" w:hAnsi="Arial" w:cs="Arial"/>
              </w:rPr>
              <w:t>Vallarta poniente #59</w:t>
            </w:r>
            <w:r w:rsidR="00961584" w:rsidRPr="00CF592E">
              <w:rPr>
                <w:rFonts w:ascii="Arial" w:eastAsia="Calibri" w:hAnsi="Arial" w:cs="Arial"/>
              </w:rPr>
              <w:t>, colonia centro, en Tlajomulco de Zúñiga, Jalisco.</w:t>
            </w:r>
          </w:p>
        </w:tc>
      </w:tr>
      <w:tr w:rsidR="00961584" w:rsidRPr="00522C2D" w14:paraId="6FC4EE0C" w14:textId="77777777" w:rsidTr="003A5C89">
        <w:trPr>
          <w:trHeight w:val="669"/>
        </w:trPr>
        <w:tc>
          <w:tcPr>
            <w:tcW w:w="4390" w:type="dxa"/>
          </w:tcPr>
          <w:p w14:paraId="1D61DCCF" w14:textId="77777777" w:rsidR="00961584" w:rsidRPr="00CF592E" w:rsidRDefault="00961584" w:rsidP="003A5C89">
            <w:pPr>
              <w:spacing w:after="200"/>
              <w:jc w:val="both"/>
              <w:rPr>
                <w:rFonts w:ascii="Arial" w:eastAsia="Calibri" w:hAnsi="Arial" w:cs="Arial"/>
              </w:rPr>
            </w:pPr>
            <w:r w:rsidRPr="00CF592E">
              <w:rPr>
                <w:rFonts w:ascii="Arial" w:eastAsia="Calibri" w:hAnsi="Arial" w:cs="Arial"/>
              </w:rPr>
              <w:t xml:space="preserve">Fecha de Publicación de Fallo </w:t>
            </w:r>
          </w:p>
        </w:tc>
        <w:tc>
          <w:tcPr>
            <w:tcW w:w="4677" w:type="dxa"/>
          </w:tcPr>
          <w:p w14:paraId="4E60B9CE" w14:textId="77777777" w:rsidR="00961584" w:rsidRPr="00CF592E" w:rsidRDefault="00961584" w:rsidP="003A5C89">
            <w:pPr>
              <w:spacing w:after="200"/>
              <w:jc w:val="both"/>
              <w:rPr>
                <w:rFonts w:ascii="Arial" w:eastAsia="Calibri" w:hAnsi="Arial" w:cs="Arial"/>
              </w:rPr>
            </w:pPr>
            <w:r w:rsidRPr="00CF592E">
              <w:rPr>
                <w:rFonts w:ascii="Arial" w:eastAsia="Calibri" w:hAnsi="Arial" w:cs="Arial"/>
              </w:rPr>
              <w:t>Desde la fecha de apertura de propuestas o hasta 20 días posteriores</w:t>
            </w:r>
          </w:p>
        </w:tc>
      </w:tr>
      <w:tr w:rsidR="00961584" w:rsidRPr="00522C2D" w14:paraId="70CC78F0" w14:textId="77777777" w:rsidTr="003A5C89">
        <w:trPr>
          <w:trHeight w:val="906"/>
        </w:trPr>
        <w:tc>
          <w:tcPr>
            <w:tcW w:w="4390" w:type="dxa"/>
          </w:tcPr>
          <w:p w14:paraId="70ED36DF" w14:textId="77777777" w:rsidR="00961584" w:rsidRPr="00CF592E" w:rsidRDefault="00961584" w:rsidP="003A5C89">
            <w:pPr>
              <w:rPr>
                <w:rFonts w:ascii="Arial" w:eastAsia="Calibri" w:hAnsi="Arial" w:cs="Arial"/>
              </w:rPr>
            </w:pPr>
            <w:r w:rsidRPr="00CF592E">
              <w:rPr>
                <w:rFonts w:ascii="Arial" w:eastAsia="Calibri" w:hAnsi="Arial" w:cs="Arial"/>
              </w:rPr>
              <w:t>Domicilio de las Oficinas del Órgano de Control Interno donde podrán presentarse inconformidades.</w:t>
            </w:r>
          </w:p>
        </w:tc>
        <w:tc>
          <w:tcPr>
            <w:tcW w:w="4677" w:type="dxa"/>
          </w:tcPr>
          <w:p w14:paraId="575EF43C" w14:textId="11AC709C" w:rsidR="00961584" w:rsidRPr="00CF592E" w:rsidRDefault="00961584" w:rsidP="003A5C89">
            <w:pPr>
              <w:rPr>
                <w:rFonts w:ascii="Arial" w:eastAsia="Calibri" w:hAnsi="Arial" w:cs="Arial"/>
              </w:rPr>
            </w:pPr>
            <w:r w:rsidRPr="00CF592E">
              <w:rPr>
                <w:rFonts w:ascii="Arial" w:eastAsia="Calibri" w:hAnsi="Arial" w:cs="Arial"/>
              </w:rPr>
              <w:t xml:space="preserve">Calle </w:t>
            </w:r>
            <w:r>
              <w:rPr>
                <w:rFonts w:ascii="Arial" w:eastAsia="Calibri" w:hAnsi="Arial" w:cs="Arial"/>
              </w:rPr>
              <w:t>Vallarta poniente</w:t>
            </w:r>
            <w:r w:rsidRPr="00CF592E">
              <w:rPr>
                <w:rFonts w:ascii="Arial" w:eastAsia="Calibri" w:hAnsi="Arial" w:cs="Arial"/>
              </w:rPr>
              <w:t xml:space="preserve"> #</w:t>
            </w:r>
            <w:r>
              <w:rPr>
                <w:rFonts w:ascii="Arial" w:eastAsia="Calibri" w:hAnsi="Arial" w:cs="Arial"/>
              </w:rPr>
              <w:t>59</w:t>
            </w:r>
            <w:r w:rsidRPr="00CF592E">
              <w:rPr>
                <w:rFonts w:ascii="Arial" w:eastAsia="Calibri" w:hAnsi="Arial" w:cs="Arial"/>
              </w:rPr>
              <w:t>, colonia centro en Tlajomulco de Zúñiga, Jalisco.</w:t>
            </w:r>
          </w:p>
        </w:tc>
      </w:tr>
    </w:tbl>
    <w:p w14:paraId="7E303890" w14:textId="645BE9BE" w:rsidR="00CC21C7" w:rsidRDefault="00961584" w:rsidP="00CC21C7">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4EA64273" w14:textId="77777777" w:rsidR="005F452A" w:rsidRDefault="005F452A" w:rsidP="00CC21C7">
      <w:pPr>
        <w:tabs>
          <w:tab w:val="left" w:pos="5100"/>
        </w:tabs>
        <w:spacing w:after="0" w:line="240" w:lineRule="auto"/>
        <w:jc w:val="both"/>
        <w:rPr>
          <w:rFonts w:ascii="Calibri" w:eastAsia="Times New Roman" w:hAnsi="Calibri" w:cs="Times New Roman"/>
          <w:b/>
          <w:kern w:val="0"/>
          <w:lang w:eastAsia="es-MX"/>
          <w14:ligatures w14:val="none"/>
        </w:rPr>
      </w:pPr>
    </w:p>
    <w:p w14:paraId="11D4987A" w14:textId="77777777" w:rsidR="00B5693A" w:rsidRDefault="00B5693A" w:rsidP="00CC21C7">
      <w:pPr>
        <w:tabs>
          <w:tab w:val="left" w:pos="5100"/>
        </w:tabs>
        <w:spacing w:after="0" w:line="240" w:lineRule="auto"/>
        <w:jc w:val="both"/>
        <w:rPr>
          <w:rFonts w:ascii="Calibri" w:eastAsia="Times New Roman" w:hAnsi="Calibri" w:cs="Times New Roman"/>
          <w:b/>
          <w:kern w:val="0"/>
          <w:lang w:eastAsia="es-MX"/>
          <w14:ligatures w14:val="none"/>
        </w:rPr>
      </w:pPr>
    </w:p>
    <w:tbl>
      <w:tblPr>
        <w:tblStyle w:val="Tablaconcuadrcula2"/>
        <w:tblW w:w="10012" w:type="dxa"/>
        <w:tblInd w:w="-661" w:type="dxa"/>
        <w:tblLook w:val="04A0" w:firstRow="1" w:lastRow="0" w:firstColumn="1" w:lastColumn="0" w:noHBand="0" w:noVBand="1"/>
      </w:tblPr>
      <w:tblGrid>
        <w:gridCol w:w="1185"/>
        <w:gridCol w:w="6134"/>
        <w:gridCol w:w="1417"/>
        <w:gridCol w:w="1276"/>
      </w:tblGrid>
      <w:tr w:rsidR="005F452A" w:rsidRPr="005F452A" w14:paraId="566FC56B" w14:textId="77777777" w:rsidTr="002A068B">
        <w:trPr>
          <w:trHeight w:val="240"/>
        </w:trPr>
        <w:tc>
          <w:tcPr>
            <w:tcW w:w="1185" w:type="dxa"/>
            <w:shd w:val="clear" w:color="auto" w:fill="000000" w:themeFill="text1"/>
            <w:noWrap/>
          </w:tcPr>
          <w:p w14:paraId="073EF668" w14:textId="77777777" w:rsidR="005F452A" w:rsidRPr="005F452A" w:rsidRDefault="005F452A" w:rsidP="005F452A">
            <w:pPr>
              <w:jc w:val="center"/>
              <w:rPr>
                <w:rFonts w:ascii="Verdana" w:hAnsi="Verdana"/>
                <w:sz w:val="18"/>
                <w:szCs w:val="18"/>
              </w:rPr>
            </w:pPr>
            <w:bookmarkStart w:id="4" w:name="_Hlk181801927"/>
            <w:bookmarkStart w:id="5" w:name="_Hlk181865780"/>
            <w:r w:rsidRPr="005F452A">
              <w:rPr>
                <w:rFonts w:ascii="Verdana" w:hAnsi="Verdana"/>
                <w:sz w:val="18"/>
                <w:szCs w:val="18"/>
              </w:rPr>
              <w:t>PARTIDA</w:t>
            </w:r>
          </w:p>
        </w:tc>
        <w:tc>
          <w:tcPr>
            <w:tcW w:w="6134" w:type="dxa"/>
            <w:tcBorders>
              <w:top w:val="nil"/>
            </w:tcBorders>
            <w:shd w:val="clear" w:color="auto" w:fill="000000" w:themeFill="text1"/>
            <w:noWrap/>
          </w:tcPr>
          <w:p w14:paraId="157FBB0A" w14:textId="77777777" w:rsidR="005F452A" w:rsidRPr="005F452A" w:rsidRDefault="005F452A" w:rsidP="005F452A">
            <w:pPr>
              <w:widowControl w:val="0"/>
              <w:autoSpaceDE w:val="0"/>
              <w:autoSpaceDN w:val="0"/>
              <w:spacing w:before="11" w:line="248" w:lineRule="exact"/>
              <w:ind w:left="21"/>
              <w:jc w:val="center"/>
              <w:rPr>
                <w:rFonts w:ascii="Verdana" w:eastAsia="Calibri" w:hAnsi="Verdana" w:cs="Calibri"/>
                <w:kern w:val="0"/>
                <w:sz w:val="18"/>
                <w:szCs w:val="18"/>
                <w:lang w:val="es-ES"/>
                <w14:ligatures w14:val="none"/>
              </w:rPr>
            </w:pPr>
            <w:r w:rsidRPr="005F452A">
              <w:rPr>
                <w:rFonts w:ascii="Verdana" w:eastAsia="Calibri" w:hAnsi="Verdana" w:cs="Calibri"/>
                <w:kern w:val="0"/>
                <w:sz w:val="18"/>
                <w:szCs w:val="18"/>
                <w:lang w:val="es-ES"/>
                <w14:ligatures w14:val="none"/>
              </w:rPr>
              <w:t>DESCRIPCION</w:t>
            </w:r>
          </w:p>
        </w:tc>
        <w:tc>
          <w:tcPr>
            <w:tcW w:w="1417" w:type="dxa"/>
            <w:shd w:val="clear" w:color="auto" w:fill="000000" w:themeFill="text1"/>
            <w:noWrap/>
          </w:tcPr>
          <w:p w14:paraId="60373E81" w14:textId="77777777" w:rsidR="005F452A" w:rsidRPr="005F452A" w:rsidRDefault="005F452A" w:rsidP="005F452A">
            <w:pPr>
              <w:jc w:val="center"/>
              <w:rPr>
                <w:rFonts w:ascii="Verdana" w:hAnsi="Verdana"/>
                <w:sz w:val="18"/>
                <w:szCs w:val="18"/>
              </w:rPr>
            </w:pPr>
            <w:r w:rsidRPr="005F452A">
              <w:rPr>
                <w:rFonts w:ascii="Verdana" w:hAnsi="Verdana"/>
                <w:sz w:val="18"/>
                <w:szCs w:val="18"/>
              </w:rPr>
              <w:t>CANTIDAD</w:t>
            </w:r>
          </w:p>
        </w:tc>
        <w:tc>
          <w:tcPr>
            <w:tcW w:w="1276" w:type="dxa"/>
            <w:shd w:val="clear" w:color="auto" w:fill="000000" w:themeFill="text1"/>
          </w:tcPr>
          <w:p w14:paraId="4265CCD4" w14:textId="77777777" w:rsidR="005F452A" w:rsidRPr="005F452A" w:rsidRDefault="005F452A" w:rsidP="005F452A">
            <w:pPr>
              <w:jc w:val="center"/>
              <w:rPr>
                <w:rFonts w:ascii="Verdana" w:hAnsi="Verdana"/>
                <w:sz w:val="18"/>
                <w:szCs w:val="18"/>
              </w:rPr>
            </w:pPr>
            <w:r w:rsidRPr="005F452A">
              <w:rPr>
                <w:rFonts w:ascii="Verdana" w:hAnsi="Verdana"/>
                <w:sz w:val="18"/>
                <w:szCs w:val="18"/>
              </w:rPr>
              <w:t>U/M</w:t>
            </w:r>
          </w:p>
        </w:tc>
      </w:tr>
      <w:bookmarkEnd w:id="4"/>
      <w:tr w:rsidR="005F452A" w:rsidRPr="005F452A" w14:paraId="46C30D69" w14:textId="77777777" w:rsidTr="002A068B">
        <w:trPr>
          <w:trHeight w:val="240"/>
        </w:trPr>
        <w:tc>
          <w:tcPr>
            <w:tcW w:w="1185" w:type="dxa"/>
            <w:noWrap/>
          </w:tcPr>
          <w:p w14:paraId="18F58300" w14:textId="77777777" w:rsidR="005F452A" w:rsidRPr="005F452A" w:rsidRDefault="005F452A" w:rsidP="005F452A">
            <w:pPr>
              <w:jc w:val="center"/>
              <w:rPr>
                <w:rFonts w:ascii="Verdana" w:hAnsi="Verdana"/>
                <w:sz w:val="18"/>
                <w:szCs w:val="18"/>
              </w:rPr>
            </w:pPr>
            <w:r w:rsidRPr="005F452A">
              <w:rPr>
                <w:rFonts w:ascii="Verdana" w:hAnsi="Verdana"/>
                <w:sz w:val="18"/>
                <w:szCs w:val="18"/>
              </w:rPr>
              <w:t>1</w:t>
            </w:r>
          </w:p>
        </w:tc>
        <w:tc>
          <w:tcPr>
            <w:tcW w:w="6134" w:type="dxa"/>
            <w:noWrap/>
          </w:tcPr>
          <w:p w14:paraId="67E02677" w14:textId="1F44EF96" w:rsidR="005F452A" w:rsidRPr="005F452A" w:rsidRDefault="005F452A" w:rsidP="005F452A">
            <w:pPr>
              <w:jc w:val="both"/>
              <w:rPr>
                <w:lang w:eastAsia="es-MX"/>
              </w:rPr>
            </w:pPr>
            <w:r w:rsidRPr="005F452A">
              <w:rPr>
                <w:lang w:eastAsia="es-MX"/>
              </w:rPr>
              <w:t>1 lona Back 6 metros x 244 cm, impresión selección a color, con bastilla y ojillos cada 15 cm, de buena calidad, en alta resolución y diseño personalizado</w:t>
            </w:r>
          </w:p>
        </w:tc>
        <w:tc>
          <w:tcPr>
            <w:tcW w:w="1417" w:type="dxa"/>
            <w:noWrap/>
          </w:tcPr>
          <w:p w14:paraId="1D309786" w14:textId="77777777" w:rsidR="005F452A" w:rsidRPr="005F452A" w:rsidRDefault="005F452A" w:rsidP="005F452A">
            <w:pPr>
              <w:jc w:val="center"/>
              <w:rPr>
                <w:rFonts w:ascii="Verdana" w:hAnsi="Verdana"/>
                <w:sz w:val="18"/>
                <w:szCs w:val="18"/>
              </w:rPr>
            </w:pPr>
            <w:r w:rsidRPr="005F452A">
              <w:rPr>
                <w:lang w:eastAsia="es-MX"/>
              </w:rPr>
              <w:t>1</w:t>
            </w:r>
          </w:p>
        </w:tc>
        <w:tc>
          <w:tcPr>
            <w:tcW w:w="1276" w:type="dxa"/>
          </w:tcPr>
          <w:p w14:paraId="6C319F8E" w14:textId="77777777" w:rsidR="005F452A" w:rsidRPr="005F452A" w:rsidRDefault="005F452A" w:rsidP="005F452A">
            <w:pPr>
              <w:jc w:val="center"/>
              <w:rPr>
                <w:rFonts w:ascii="Verdana" w:hAnsi="Verdana"/>
                <w:sz w:val="18"/>
                <w:szCs w:val="18"/>
              </w:rPr>
            </w:pPr>
            <w:r w:rsidRPr="005F452A">
              <w:rPr>
                <w:lang w:eastAsia="es-MX"/>
              </w:rPr>
              <w:t>Pieza</w:t>
            </w:r>
          </w:p>
        </w:tc>
      </w:tr>
      <w:tr w:rsidR="005F452A" w:rsidRPr="005F452A" w14:paraId="51999E11" w14:textId="77777777" w:rsidTr="002A068B">
        <w:trPr>
          <w:trHeight w:val="500"/>
        </w:trPr>
        <w:tc>
          <w:tcPr>
            <w:tcW w:w="1185" w:type="dxa"/>
            <w:noWrap/>
          </w:tcPr>
          <w:p w14:paraId="43E654AE" w14:textId="77777777" w:rsidR="005F452A" w:rsidRPr="005F452A" w:rsidRDefault="005F452A" w:rsidP="005F452A">
            <w:pPr>
              <w:jc w:val="center"/>
              <w:rPr>
                <w:rFonts w:ascii="Verdana" w:hAnsi="Verdana"/>
                <w:sz w:val="18"/>
                <w:szCs w:val="18"/>
              </w:rPr>
            </w:pPr>
            <w:r w:rsidRPr="005F452A">
              <w:rPr>
                <w:rFonts w:ascii="Verdana" w:hAnsi="Verdana"/>
                <w:sz w:val="18"/>
                <w:szCs w:val="18"/>
              </w:rPr>
              <w:t>2</w:t>
            </w:r>
          </w:p>
        </w:tc>
        <w:tc>
          <w:tcPr>
            <w:tcW w:w="6134" w:type="dxa"/>
            <w:noWrap/>
          </w:tcPr>
          <w:p w14:paraId="764B6163" w14:textId="77777777" w:rsidR="005F452A" w:rsidRPr="005F452A" w:rsidRDefault="005F452A" w:rsidP="005F452A">
            <w:pPr>
              <w:jc w:val="both"/>
              <w:rPr>
                <w:lang w:eastAsia="es-MX"/>
              </w:rPr>
            </w:pPr>
            <w:r w:rsidRPr="005F452A">
              <w:rPr>
                <w:lang w:eastAsia="es-MX"/>
              </w:rPr>
              <w:t xml:space="preserve">Bandera de tela tipo vela personalizada de 350 cm x 70 cm con estructura de aluminio y base amplia </w:t>
            </w:r>
          </w:p>
          <w:p w14:paraId="44E40C6C" w14:textId="77777777" w:rsidR="005F452A" w:rsidRPr="005F452A" w:rsidRDefault="005F452A" w:rsidP="005F452A">
            <w:pPr>
              <w:jc w:val="both"/>
              <w:rPr>
                <w:lang w:eastAsia="es-MX"/>
              </w:rPr>
            </w:pPr>
            <w:r w:rsidRPr="005F452A">
              <w:rPr>
                <w:lang w:eastAsia="es-MX"/>
              </w:rPr>
              <w:t>Características:</w:t>
            </w:r>
          </w:p>
          <w:p w14:paraId="7BBD7601" w14:textId="77777777" w:rsidR="005F452A" w:rsidRPr="005F452A" w:rsidRDefault="005F452A" w:rsidP="005F452A">
            <w:pPr>
              <w:jc w:val="both"/>
              <w:rPr>
                <w:lang w:eastAsia="es-MX"/>
              </w:rPr>
            </w:pPr>
            <w:r w:rsidRPr="005F452A">
              <w:rPr>
                <w:lang w:eastAsia="es-MX"/>
              </w:rPr>
              <w:t>Tela de alta calidad: Confeccionada en tejido resistente al viento y al sol, ideal para uso prolongado al aire libre.</w:t>
            </w:r>
          </w:p>
          <w:p w14:paraId="2E64FE59" w14:textId="77777777" w:rsidR="005F452A" w:rsidRPr="005F452A" w:rsidRDefault="005F452A" w:rsidP="005F452A">
            <w:pPr>
              <w:jc w:val="both"/>
              <w:rPr>
                <w:lang w:eastAsia="es-MX"/>
              </w:rPr>
            </w:pPr>
            <w:r w:rsidRPr="005F452A">
              <w:rPr>
                <w:lang w:eastAsia="es-MX"/>
              </w:rPr>
              <w:t>Diseño tipo vela: Su forma curva y estilizada asegura visibilidad y elegancia, atrayendo miradas desde la distancia.</w:t>
            </w:r>
          </w:p>
          <w:p w14:paraId="737E6B14" w14:textId="77777777" w:rsidR="005F452A" w:rsidRPr="005F452A" w:rsidRDefault="005F452A" w:rsidP="005F452A">
            <w:pPr>
              <w:jc w:val="both"/>
              <w:rPr>
                <w:lang w:eastAsia="es-MX"/>
              </w:rPr>
            </w:pPr>
            <w:r w:rsidRPr="005F452A">
              <w:rPr>
                <w:lang w:eastAsia="es-MX"/>
              </w:rPr>
              <w:t>Estructura de aluminio reforzado: Poste ligero pero resistente, dividido en secciones para facilitar el transporte y montaje.</w:t>
            </w:r>
          </w:p>
          <w:p w14:paraId="53DEDACC" w14:textId="77777777" w:rsidR="005F452A" w:rsidRPr="005F452A" w:rsidRDefault="005F452A" w:rsidP="005F452A">
            <w:pPr>
              <w:jc w:val="both"/>
              <w:rPr>
                <w:lang w:eastAsia="es-MX"/>
              </w:rPr>
            </w:pPr>
            <w:r w:rsidRPr="005F452A">
              <w:rPr>
                <w:lang w:eastAsia="es-MX"/>
              </w:rPr>
              <w:t xml:space="preserve">Base amplia y estable: Incluye una base de gran superficie que brinda mayor soporte y estabilidad, incluso en condiciones de viento moderado. </w:t>
            </w:r>
          </w:p>
          <w:p w14:paraId="277C99C1" w14:textId="77777777" w:rsidR="005F452A" w:rsidRPr="005F452A" w:rsidRDefault="005F452A" w:rsidP="005F452A">
            <w:pPr>
              <w:widowControl w:val="0"/>
              <w:autoSpaceDE w:val="0"/>
              <w:autoSpaceDN w:val="0"/>
              <w:spacing w:before="131" w:line="248" w:lineRule="exact"/>
              <w:ind w:left="21"/>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Fácil de montar y transportar: Incluye bolsa de transporte y sistema de montaje rápido sin herramientas.</w:t>
            </w:r>
          </w:p>
        </w:tc>
        <w:tc>
          <w:tcPr>
            <w:tcW w:w="1417" w:type="dxa"/>
            <w:noWrap/>
          </w:tcPr>
          <w:p w14:paraId="72234C30" w14:textId="77777777" w:rsidR="005F452A" w:rsidRPr="005F452A" w:rsidRDefault="005F452A" w:rsidP="005F452A">
            <w:pPr>
              <w:jc w:val="center"/>
              <w:rPr>
                <w:rFonts w:ascii="Verdana" w:hAnsi="Verdana"/>
                <w:sz w:val="18"/>
                <w:szCs w:val="18"/>
              </w:rPr>
            </w:pPr>
            <w:r w:rsidRPr="005F452A">
              <w:rPr>
                <w:lang w:eastAsia="es-MX"/>
              </w:rPr>
              <w:t>9</w:t>
            </w:r>
          </w:p>
        </w:tc>
        <w:tc>
          <w:tcPr>
            <w:tcW w:w="1276" w:type="dxa"/>
          </w:tcPr>
          <w:p w14:paraId="4F2ECDCA" w14:textId="77777777" w:rsidR="005F452A" w:rsidRPr="005F452A" w:rsidRDefault="005F452A" w:rsidP="005F452A">
            <w:pPr>
              <w:jc w:val="center"/>
              <w:rPr>
                <w:rFonts w:ascii="Verdana" w:hAnsi="Verdana"/>
                <w:sz w:val="18"/>
                <w:szCs w:val="18"/>
              </w:rPr>
            </w:pPr>
            <w:r w:rsidRPr="005F452A">
              <w:rPr>
                <w:lang w:eastAsia="es-MX"/>
              </w:rPr>
              <w:t>Piezas</w:t>
            </w:r>
          </w:p>
        </w:tc>
      </w:tr>
      <w:tr w:rsidR="005F452A" w:rsidRPr="005F452A" w14:paraId="773365BD" w14:textId="77777777" w:rsidTr="002A068B">
        <w:trPr>
          <w:trHeight w:val="65"/>
        </w:trPr>
        <w:tc>
          <w:tcPr>
            <w:tcW w:w="1185" w:type="dxa"/>
            <w:noWrap/>
          </w:tcPr>
          <w:p w14:paraId="0D51CA4B" w14:textId="77777777" w:rsidR="005F452A" w:rsidRPr="005F452A" w:rsidRDefault="005F452A" w:rsidP="005F452A">
            <w:pPr>
              <w:jc w:val="center"/>
              <w:rPr>
                <w:rFonts w:ascii="Verdana" w:hAnsi="Verdana"/>
                <w:sz w:val="18"/>
                <w:szCs w:val="18"/>
              </w:rPr>
            </w:pPr>
            <w:r w:rsidRPr="005F452A">
              <w:rPr>
                <w:rFonts w:ascii="Verdana" w:hAnsi="Verdana"/>
                <w:sz w:val="18"/>
                <w:szCs w:val="18"/>
              </w:rPr>
              <w:t>3</w:t>
            </w:r>
          </w:p>
        </w:tc>
        <w:tc>
          <w:tcPr>
            <w:tcW w:w="6134" w:type="dxa"/>
            <w:noWrap/>
          </w:tcPr>
          <w:p w14:paraId="15CA6A1A" w14:textId="77777777" w:rsidR="005F452A" w:rsidRPr="005F452A" w:rsidRDefault="005F452A" w:rsidP="005F452A">
            <w:pPr>
              <w:jc w:val="both"/>
              <w:rPr>
                <w:lang w:eastAsia="es-MX"/>
              </w:rPr>
            </w:pPr>
            <w:r w:rsidRPr="005F452A">
              <w:rPr>
                <w:lang w:eastAsia="es-MX"/>
              </w:rPr>
              <w:t xml:space="preserve">Bandera de tela tipo vela personalizada de 270 cm x 80 cm con estructura de aluminio y base amplia </w:t>
            </w:r>
          </w:p>
          <w:p w14:paraId="11552C88" w14:textId="77777777" w:rsidR="005F452A" w:rsidRPr="005F452A" w:rsidRDefault="005F452A" w:rsidP="005F452A">
            <w:pPr>
              <w:jc w:val="both"/>
              <w:rPr>
                <w:lang w:eastAsia="es-MX"/>
              </w:rPr>
            </w:pPr>
            <w:r w:rsidRPr="005F452A">
              <w:rPr>
                <w:lang w:eastAsia="es-MX"/>
              </w:rPr>
              <w:t>Características:</w:t>
            </w:r>
          </w:p>
          <w:p w14:paraId="0B9A2305" w14:textId="77777777" w:rsidR="005F452A" w:rsidRPr="005F452A" w:rsidRDefault="005F452A" w:rsidP="005F452A">
            <w:pPr>
              <w:jc w:val="both"/>
              <w:rPr>
                <w:lang w:eastAsia="es-MX"/>
              </w:rPr>
            </w:pPr>
            <w:r w:rsidRPr="005F452A">
              <w:rPr>
                <w:lang w:eastAsia="es-MX"/>
              </w:rPr>
              <w:t>Tela de alta calidad: Confeccionada en tejido resistente al viento y al sol, ideal para uso prolongado al aire libre.</w:t>
            </w:r>
          </w:p>
          <w:p w14:paraId="333E207A" w14:textId="77777777" w:rsidR="005F452A" w:rsidRPr="005F452A" w:rsidRDefault="005F452A" w:rsidP="005F452A">
            <w:pPr>
              <w:jc w:val="both"/>
              <w:rPr>
                <w:lang w:eastAsia="es-MX"/>
              </w:rPr>
            </w:pPr>
            <w:r w:rsidRPr="005F452A">
              <w:rPr>
                <w:lang w:eastAsia="es-MX"/>
              </w:rPr>
              <w:t>Diseño tipo vela: Su forma curva y estilizada asegura visibilidad y elegancia, atrayendo miradas desde la distancia.</w:t>
            </w:r>
          </w:p>
          <w:p w14:paraId="7170C1DB" w14:textId="77777777" w:rsidR="005F452A" w:rsidRPr="005F452A" w:rsidRDefault="005F452A" w:rsidP="005F452A">
            <w:pPr>
              <w:jc w:val="both"/>
              <w:rPr>
                <w:lang w:eastAsia="es-MX"/>
              </w:rPr>
            </w:pPr>
            <w:r w:rsidRPr="005F452A">
              <w:rPr>
                <w:lang w:eastAsia="es-MX"/>
              </w:rPr>
              <w:t>Estructura de aluminio reforzado: Poste ligero pero resistente, dividido en secciones para facilitar el transporte y montaje.</w:t>
            </w:r>
          </w:p>
          <w:p w14:paraId="0DC9F116" w14:textId="77777777" w:rsidR="005F452A" w:rsidRPr="005F452A" w:rsidRDefault="005F452A" w:rsidP="005F452A">
            <w:pPr>
              <w:jc w:val="both"/>
              <w:rPr>
                <w:lang w:eastAsia="es-MX"/>
              </w:rPr>
            </w:pPr>
            <w:r w:rsidRPr="005F452A">
              <w:rPr>
                <w:lang w:eastAsia="es-MX"/>
              </w:rPr>
              <w:t xml:space="preserve">Base amplia y estable: Incluye una base de gran superficie que brinda mayor soporte y estabilidad, incluso en condiciones de viento moderado. </w:t>
            </w:r>
          </w:p>
          <w:p w14:paraId="17329CA8" w14:textId="77777777" w:rsidR="005F452A" w:rsidRPr="005F452A" w:rsidRDefault="005F452A" w:rsidP="005F452A">
            <w:pPr>
              <w:widowControl w:val="0"/>
              <w:autoSpaceDE w:val="0"/>
              <w:autoSpaceDN w:val="0"/>
              <w:spacing w:before="131" w:line="248" w:lineRule="exact"/>
              <w:ind w:left="21"/>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Fácil de montar y transportar: Incluye bolsa de transporte y sistema de montaje rápido sin herramientas.</w:t>
            </w:r>
          </w:p>
        </w:tc>
        <w:tc>
          <w:tcPr>
            <w:tcW w:w="1417" w:type="dxa"/>
            <w:noWrap/>
          </w:tcPr>
          <w:p w14:paraId="0BB08D56" w14:textId="77777777" w:rsidR="005F452A" w:rsidRPr="005F452A" w:rsidRDefault="005F452A" w:rsidP="005F452A">
            <w:pPr>
              <w:jc w:val="center"/>
              <w:rPr>
                <w:rFonts w:ascii="Verdana" w:hAnsi="Verdana"/>
                <w:sz w:val="18"/>
                <w:szCs w:val="18"/>
              </w:rPr>
            </w:pPr>
            <w:r w:rsidRPr="005F452A">
              <w:rPr>
                <w:lang w:eastAsia="es-MX"/>
              </w:rPr>
              <w:t>4</w:t>
            </w:r>
          </w:p>
        </w:tc>
        <w:tc>
          <w:tcPr>
            <w:tcW w:w="1276" w:type="dxa"/>
          </w:tcPr>
          <w:p w14:paraId="0F2AC77B" w14:textId="77777777" w:rsidR="005F452A" w:rsidRPr="005F452A" w:rsidRDefault="005F452A" w:rsidP="005F452A">
            <w:pPr>
              <w:jc w:val="center"/>
              <w:rPr>
                <w:rFonts w:ascii="Verdana" w:hAnsi="Verdana"/>
                <w:sz w:val="18"/>
                <w:szCs w:val="18"/>
              </w:rPr>
            </w:pPr>
            <w:r w:rsidRPr="005F452A">
              <w:rPr>
                <w:lang w:eastAsia="es-MX"/>
              </w:rPr>
              <w:t>Piezas</w:t>
            </w:r>
          </w:p>
        </w:tc>
      </w:tr>
      <w:tr w:rsidR="005F452A" w:rsidRPr="005F452A" w14:paraId="5C13C957" w14:textId="77777777" w:rsidTr="002A068B">
        <w:trPr>
          <w:trHeight w:val="515"/>
        </w:trPr>
        <w:tc>
          <w:tcPr>
            <w:tcW w:w="1185" w:type="dxa"/>
            <w:noWrap/>
          </w:tcPr>
          <w:p w14:paraId="09D2FC60" w14:textId="77777777" w:rsidR="005F452A" w:rsidRPr="005F452A" w:rsidRDefault="005F452A" w:rsidP="005F452A">
            <w:pPr>
              <w:jc w:val="center"/>
              <w:rPr>
                <w:rFonts w:ascii="Verdana" w:hAnsi="Verdana"/>
                <w:sz w:val="18"/>
                <w:szCs w:val="18"/>
              </w:rPr>
            </w:pPr>
            <w:r w:rsidRPr="005F452A">
              <w:rPr>
                <w:rFonts w:ascii="Verdana" w:hAnsi="Verdana"/>
                <w:sz w:val="18"/>
                <w:szCs w:val="18"/>
              </w:rPr>
              <w:t>4</w:t>
            </w:r>
          </w:p>
        </w:tc>
        <w:tc>
          <w:tcPr>
            <w:tcW w:w="6134" w:type="dxa"/>
            <w:noWrap/>
          </w:tcPr>
          <w:p w14:paraId="7E2893F6" w14:textId="77777777" w:rsidR="005F452A" w:rsidRPr="005F452A" w:rsidRDefault="005F452A" w:rsidP="005F452A">
            <w:pPr>
              <w:jc w:val="both"/>
              <w:rPr>
                <w:lang w:val="en-US" w:eastAsia="es-MX"/>
              </w:rPr>
            </w:pPr>
            <w:r w:rsidRPr="005F452A">
              <w:rPr>
                <w:lang w:val="en-US" w:eastAsia="es-MX"/>
              </w:rPr>
              <w:t xml:space="preserve">Banner Roll Up </w:t>
            </w:r>
            <w:proofErr w:type="spellStart"/>
            <w:r w:rsidRPr="005F452A">
              <w:rPr>
                <w:lang w:val="en-US" w:eastAsia="es-MX"/>
              </w:rPr>
              <w:t>personalizado</w:t>
            </w:r>
            <w:proofErr w:type="spellEnd"/>
            <w:r w:rsidRPr="005F452A">
              <w:rPr>
                <w:lang w:val="en-US" w:eastAsia="es-MX"/>
              </w:rPr>
              <w:t xml:space="preserve"> de 80 cm x 180 cm</w:t>
            </w:r>
          </w:p>
          <w:p w14:paraId="75C14132" w14:textId="77777777" w:rsidR="005F452A" w:rsidRPr="005F452A" w:rsidRDefault="005F452A" w:rsidP="005F452A">
            <w:pPr>
              <w:jc w:val="both"/>
              <w:rPr>
                <w:lang w:val="es-ES" w:eastAsia="es-MX"/>
              </w:rPr>
            </w:pPr>
            <w:r w:rsidRPr="005F452A">
              <w:rPr>
                <w:lang w:val="es-ES" w:eastAsia="es-MX"/>
              </w:rPr>
              <w:t>Banner roll up vertical de alta calidad, en alta resolución y con diseño personalizado completamente.</w:t>
            </w:r>
          </w:p>
          <w:p w14:paraId="11EF0CAF" w14:textId="77777777" w:rsidR="005F452A" w:rsidRPr="005F452A" w:rsidRDefault="005F452A" w:rsidP="005F452A">
            <w:pPr>
              <w:jc w:val="both"/>
              <w:rPr>
                <w:lang w:val="es-ES" w:eastAsia="es-MX"/>
              </w:rPr>
            </w:pPr>
            <w:r w:rsidRPr="005F452A">
              <w:rPr>
                <w:lang w:val="es-ES" w:eastAsia="es-MX"/>
              </w:rPr>
              <w:t>Dimensiones: 80 cm de ancho x 180 cm de alto aproximadamente</w:t>
            </w:r>
          </w:p>
          <w:p w14:paraId="1AC6503F" w14:textId="77777777" w:rsidR="005F452A" w:rsidRPr="005F452A" w:rsidRDefault="005F452A" w:rsidP="005F452A">
            <w:pPr>
              <w:jc w:val="both"/>
              <w:rPr>
                <w:lang w:val="es-ES" w:eastAsia="es-MX"/>
              </w:rPr>
            </w:pPr>
            <w:r w:rsidRPr="005F452A">
              <w:rPr>
                <w:lang w:val="es-ES" w:eastAsia="es-MX"/>
              </w:rPr>
              <w:t>Material del gráfico: Lona vinílica o poliéster mate de alta resolución (resistente y de larga duración)</w:t>
            </w:r>
          </w:p>
          <w:p w14:paraId="45013CFB" w14:textId="77777777" w:rsidR="005F452A" w:rsidRPr="005F452A" w:rsidRDefault="005F452A" w:rsidP="005F452A">
            <w:pPr>
              <w:jc w:val="both"/>
              <w:rPr>
                <w:lang w:val="es-ES" w:eastAsia="es-MX"/>
              </w:rPr>
            </w:pPr>
            <w:r w:rsidRPr="005F452A">
              <w:rPr>
                <w:lang w:val="es-ES" w:eastAsia="es-MX"/>
              </w:rPr>
              <w:t>Impresión: Full color en alta resolución (1440 dpi) con tintas eco-solventes para colores más vivos y duraderos</w:t>
            </w:r>
          </w:p>
          <w:p w14:paraId="5B8D3695" w14:textId="77777777" w:rsidR="005F452A" w:rsidRPr="005F452A" w:rsidRDefault="005F452A" w:rsidP="005F452A">
            <w:pPr>
              <w:jc w:val="both"/>
              <w:rPr>
                <w:lang w:val="es-ES" w:eastAsia="es-MX"/>
              </w:rPr>
            </w:pPr>
            <w:r w:rsidRPr="005F452A">
              <w:rPr>
                <w:lang w:val="es-ES" w:eastAsia="es-MX"/>
              </w:rPr>
              <w:t xml:space="preserve">Estructura: Base de aluminio reforzado tipo </w:t>
            </w:r>
            <w:proofErr w:type="spellStart"/>
            <w:r w:rsidRPr="005F452A">
              <w:rPr>
                <w:lang w:val="es-ES" w:eastAsia="es-MX"/>
              </w:rPr>
              <w:t>cassette</w:t>
            </w:r>
            <w:proofErr w:type="spellEnd"/>
            <w:r w:rsidRPr="005F452A">
              <w:rPr>
                <w:lang w:val="es-ES" w:eastAsia="es-MX"/>
              </w:rPr>
              <w:t xml:space="preserve"> con pies estabilizadores</w:t>
            </w:r>
          </w:p>
          <w:p w14:paraId="5373E452" w14:textId="77777777" w:rsidR="005F452A" w:rsidRPr="005F452A" w:rsidRDefault="005F452A" w:rsidP="005F452A">
            <w:pPr>
              <w:widowControl w:val="0"/>
              <w:autoSpaceDE w:val="0"/>
              <w:autoSpaceDN w:val="0"/>
              <w:spacing w:before="131" w:line="248" w:lineRule="exact"/>
              <w:ind w:left="21"/>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 xml:space="preserve">Montaje: Fácil y rápido, incluye mástil retráctil de aluminio y bolsa </w:t>
            </w:r>
            <w:r w:rsidRPr="005F452A">
              <w:rPr>
                <w:rFonts w:ascii="Calibri" w:eastAsia="Calibri" w:hAnsi="Calibri" w:cs="Calibri"/>
                <w:kern w:val="0"/>
                <w:lang w:val="es-ES" w:eastAsia="es-MX"/>
                <w14:ligatures w14:val="none"/>
              </w:rPr>
              <w:lastRenderedPageBreak/>
              <w:t>de transporte acolchada</w:t>
            </w:r>
          </w:p>
        </w:tc>
        <w:tc>
          <w:tcPr>
            <w:tcW w:w="1417" w:type="dxa"/>
            <w:noWrap/>
          </w:tcPr>
          <w:p w14:paraId="200AF0BD" w14:textId="77777777" w:rsidR="005F452A" w:rsidRPr="005F452A" w:rsidRDefault="005F452A" w:rsidP="005F452A">
            <w:pPr>
              <w:jc w:val="center"/>
              <w:rPr>
                <w:rFonts w:ascii="Verdana" w:hAnsi="Verdana"/>
                <w:sz w:val="18"/>
                <w:szCs w:val="18"/>
              </w:rPr>
            </w:pPr>
            <w:r w:rsidRPr="005F452A">
              <w:rPr>
                <w:lang w:eastAsia="es-MX"/>
              </w:rPr>
              <w:lastRenderedPageBreak/>
              <w:t>7</w:t>
            </w:r>
          </w:p>
        </w:tc>
        <w:tc>
          <w:tcPr>
            <w:tcW w:w="1276" w:type="dxa"/>
          </w:tcPr>
          <w:p w14:paraId="5EC2390E" w14:textId="77777777" w:rsidR="005F452A" w:rsidRPr="005F452A" w:rsidRDefault="005F452A" w:rsidP="005F452A">
            <w:pPr>
              <w:jc w:val="center"/>
              <w:rPr>
                <w:rFonts w:ascii="Verdana" w:hAnsi="Verdana"/>
                <w:sz w:val="18"/>
                <w:szCs w:val="18"/>
              </w:rPr>
            </w:pPr>
            <w:r w:rsidRPr="005F452A">
              <w:rPr>
                <w:lang w:eastAsia="es-MX"/>
              </w:rPr>
              <w:t>Piezas</w:t>
            </w:r>
          </w:p>
        </w:tc>
      </w:tr>
      <w:tr w:rsidR="005F452A" w:rsidRPr="005F452A" w14:paraId="4F05FE5A" w14:textId="77777777" w:rsidTr="002A068B">
        <w:trPr>
          <w:trHeight w:val="70"/>
        </w:trPr>
        <w:tc>
          <w:tcPr>
            <w:tcW w:w="1185" w:type="dxa"/>
            <w:noWrap/>
          </w:tcPr>
          <w:p w14:paraId="7E200716" w14:textId="77777777" w:rsidR="005F452A" w:rsidRPr="005F452A" w:rsidRDefault="005F452A" w:rsidP="005F452A">
            <w:pPr>
              <w:jc w:val="center"/>
              <w:rPr>
                <w:rFonts w:ascii="Verdana" w:hAnsi="Verdana"/>
                <w:sz w:val="18"/>
                <w:szCs w:val="18"/>
              </w:rPr>
            </w:pPr>
            <w:r w:rsidRPr="005F452A">
              <w:rPr>
                <w:rFonts w:ascii="Verdana" w:hAnsi="Verdana"/>
                <w:sz w:val="18"/>
                <w:szCs w:val="18"/>
              </w:rPr>
              <w:t>5</w:t>
            </w:r>
          </w:p>
        </w:tc>
        <w:tc>
          <w:tcPr>
            <w:tcW w:w="6134" w:type="dxa"/>
            <w:noWrap/>
          </w:tcPr>
          <w:p w14:paraId="2DBCDA31" w14:textId="77777777" w:rsidR="005F452A" w:rsidRPr="005F452A" w:rsidRDefault="005F452A" w:rsidP="005F452A">
            <w:pPr>
              <w:jc w:val="both"/>
              <w:rPr>
                <w:lang w:val="es-ES" w:eastAsia="es-MX"/>
              </w:rPr>
            </w:pPr>
            <w:r w:rsidRPr="005F452A">
              <w:rPr>
                <w:lang w:val="es-ES" w:eastAsia="es-MX"/>
              </w:rPr>
              <w:t>Formato de Ficha de Inscripción, tamaño oficio doble, en doble folio con pleca para corte de talón, en Impresión en doble cara a selección de color y diseño personalizado.</w:t>
            </w:r>
          </w:p>
          <w:p w14:paraId="410B65BD" w14:textId="77777777" w:rsidR="005F452A" w:rsidRPr="005F452A" w:rsidRDefault="005F452A" w:rsidP="005F452A">
            <w:pPr>
              <w:jc w:val="both"/>
              <w:rPr>
                <w:lang w:val="es-ES" w:eastAsia="es-MX"/>
              </w:rPr>
            </w:pPr>
            <w:r w:rsidRPr="005F452A">
              <w:rPr>
                <w:lang w:val="es-ES" w:eastAsia="es-MX"/>
              </w:rPr>
              <w:t>Formato especializado para facilitar el llenado, archivo y entrega de comprobantes.</w:t>
            </w:r>
          </w:p>
          <w:p w14:paraId="6D4AD8A0" w14:textId="77777777" w:rsidR="005F452A" w:rsidRPr="005F452A" w:rsidRDefault="005F452A" w:rsidP="005F452A">
            <w:pPr>
              <w:jc w:val="both"/>
              <w:rPr>
                <w:lang w:val="es-ES" w:eastAsia="es-MX"/>
              </w:rPr>
            </w:pPr>
            <w:r w:rsidRPr="005F452A">
              <w:rPr>
                <w:lang w:val="es-ES" w:eastAsia="es-MX"/>
              </w:rPr>
              <w:t>Se requieren con las siguientes características:</w:t>
            </w:r>
          </w:p>
          <w:p w14:paraId="6B657193" w14:textId="77777777" w:rsidR="005F452A" w:rsidRPr="005F452A" w:rsidRDefault="005F452A" w:rsidP="005F452A">
            <w:pPr>
              <w:jc w:val="both"/>
              <w:rPr>
                <w:lang w:val="es-ES" w:eastAsia="es-MX"/>
              </w:rPr>
            </w:pPr>
            <w:r w:rsidRPr="005F452A">
              <w:rPr>
                <w:lang w:val="es-ES" w:eastAsia="es-MX"/>
              </w:rPr>
              <w:t>Tamaño oficio doble (21.5 x 34 cm aprox.)</w:t>
            </w:r>
          </w:p>
          <w:p w14:paraId="2DC3138F" w14:textId="77777777" w:rsidR="005F452A" w:rsidRPr="005F452A" w:rsidRDefault="005F452A" w:rsidP="005F452A">
            <w:pPr>
              <w:jc w:val="both"/>
              <w:rPr>
                <w:lang w:val="es-ES" w:eastAsia="es-MX"/>
              </w:rPr>
            </w:pPr>
            <w:r w:rsidRPr="005F452A">
              <w:rPr>
                <w:lang w:val="es-ES" w:eastAsia="es-MX"/>
              </w:rPr>
              <w:t>Doble folio con pleca (línea de perforado) que permite el fácil desprendimiento del talón comprobante, ideal para entregar al solicitante.</w:t>
            </w:r>
          </w:p>
          <w:p w14:paraId="2FD211DE" w14:textId="77777777" w:rsidR="005F452A" w:rsidRPr="005F452A" w:rsidRDefault="005F452A" w:rsidP="005F452A">
            <w:pPr>
              <w:jc w:val="both"/>
              <w:rPr>
                <w:lang w:val="es-ES" w:eastAsia="es-MX"/>
              </w:rPr>
            </w:pPr>
            <w:r w:rsidRPr="005F452A">
              <w:rPr>
                <w:lang w:val="es-ES" w:eastAsia="es-MX"/>
              </w:rPr>
              <w:t>Impresión a doble cara (anverso y reverso) a selección de color (cuatricromía), lo que permite un diseño completo, con elementos gráficos como logotipos, tablas, instrucciones, reglamentos y datos relevantes.</w:t>
            </w:r>
          </w:p>
          <w:p w14:paraId="29043EFA" w14:textId="77777777" w:rsidR="005F452A" w:rsidRPr="005F452A" w:rsidRDefault="005F452A" w:rsidP="005F452A">
            <w:pPr>
              <w:jc w:val="both"/>
              <w:rPr>
                <w:lang w:val="es-ES" w:eastAsia="es-MX"/>
              </w:rPr>
            </w:pPr>
            <w:r w:rsidRPr="005F452A">
              <w:rPr>
                <w:lang w:val="es-ES" w:eastAsia="es-MX"/>
              </w:rPr>
              <w:t>Elaborado en papel bond blanco de alta calidad, que garantiza durabilidad, buen contraste en impresión y facilidad para escritura manual.</w:t>
            </w:r>
          </w:p>
          <w:p w14:paraId="09430748" w14:textId="47E7B62E" w:rsidR="005F452A" w:rsidRPr="005F452A" w:rsidRDefault="005F452A" w:rsidP="005F452A">
            <w:pPr>
              <w:jc w:val="both"/>
              <w:rPr>
                <w:lang w:val="es-ES" w:eastAsia="es-MX"/>
              </w:rPr>
            </w:pPr>
            <w:r w:rsidRPr="005F452A">
              <w:rPr>
                <w:lang w:val="es-ES" w:eastAsia="es-MX"/>
              </w:rPr>
              <w:t>Engrapado en block de 50 juegos, con cartón rígido posterior para mayor soporte y durabilidad en el uso diario.</w:t>
            </w:r>
          </w:p>
        </w:tc>
        <w:tc>
          <w:tcPr>
            <w:tcW w:w="1417" w:type="dxa"/>
            <w:noWrap/>
          </w:tcPr>
          <w:p w14:paraId="6B7B0B2D" w14:textId="77777777" w:rsidR="005F452A" w:rsidRPr="005F452A" w:rsidRDefault="005F452A" w:rsidP="005F452A">
            <w:pPr>
              <w:jc w:val="center"/>
              <w:rPr>
                <w:rFonts w:ascii="Verdana" w:hAnsi="Verdana"/>
                <w:sz w:val="18"/>
                <w:szCs w:val="18"/>
              </w:rPr>
            </w:pPr>
            <w:r w:rsidRPr="005F452A">
              <w:rPr>
                <w:lang w:eastAsia="es-MX"/>
              </w:rPr>
              <w:t>4,000</w:t>
            </w:r>
          </w:p>
        </w:tc>
        <w:tc>
          <w:tcPr>
            <w:tcW w:w="1276" w:type="dxa"/>
          </w:tcPr>
          <w:p w14:paraId="6A68BC20" w14:textId="77777777" w:rsidR="005F452A" w:rsidRPr="005F452A" w:rsidRDefault="005F452A" w:rsidP="005F452A">
            <w:pPr>
              <w:jc w:val="center"/>
              <w:rPr>
                <w:rFonts w:ascii="Verdana" w:hAnsi="Verdana"/>
                <w:sz w:val="18"/>
                <w:szCs w:val="18"/>
              </w:rPr>
            </w:pPr>
            <w:r w:rsidRPr="005F452A">
              <w:rPr>
                <w:lang w:eastAsia="es-MX"/>
              </w:rPr>
              <w:t>Formatos</w:t>
            </w:r>
          </w:p>
        </w:tc>
      </w:tr>
      <w:tr w:rsidR="005F452A" w:rsidRPr="005F452A" w14:paraId="100F0E29" w14:textId="77777777" w:rsidTr="002A068B">
        <w:trPr>
          <w:trHeight w:val="639"/>
        </w:trPr>
        <w:tc>
          <w:tcPr>
            <w:tcW w:w="1185" w:type="dxa"/>
            <w:noWrap/>
          </w:tcPr>
          <w:p w14:paraId="33FB9DA9" w14:textId="77777777" w:rsidR="005F452A" w:rsidRPr="005F452A" w:rsidRDefault="005F452A" w:rsidP="005F452A">
            <w:pPr>
              <w:jc w:val="center"/>
              <w:rPr>
                <w:rFonts w:ascii="Verdana" w:hAnsi="Verdana"/>
                <w:sz w:val="18"/>
                <w:szCs w:val="18"/>
              </w:rPr>
            </w:pPr>
            <w:r w:rsidRPr="005F452A">
              <w:rPr>
                <w:rFonts w:ascii="Verdana" w:hAnsi="Verdana"/>
                <w:sz w:val="18"/>
                <w:szCs w:val="18"/>
              </w:rPr>
              <w:t>6</w:t>
            </w:r>
          </w:p>
        </w:tc>
        <w:tc>
          <w:tcPr>
            <w:tcW w:w="6134" w:type="dxa"/>
            <w:noWrap/>
          </w:tcPr>
          <w:p w14:paraId="56DC2380" w14:textId="77777777" w:rsidR="005F452A" w:rsidRPr="005F452A" w:rsidRDefault="005F452A" w:rsidP="005F452A">
            <w:pPr>
              <w:jc w:val="both"/>
              <w:rPr>
                <w:lang w:val="es-ES" w:eastAsia="es-MX"/>
              </w:rPr>
            </w:pPr>
            <w:r w:rsidRPr="005F452A">
              <w:rPr>
                <w:lang w:val="es-ES" w:eastAsia="es-MX"/>
              </w:rPr>
              <w:t>Formatos Media Carta, impreso a 4 tintas, en block de 50 piezas a 2 diseños personalizados.</w:t>
            </w:r>
          </w:p>
          <w:p w14:paraId="564ACDCD" w14:textId="77777777" w:rsidR="005F452A" w:rsidRPr="005F452A" w:rsidRDefault="005F452A" w:rsidP="005F452A">
            <w:pPr>
              <w:jc w:val="both"/>
              <w:rPr>
                <w:lang w:val="es-ES" w:eastAsia="es-MX"/>
              </w:rPr>
            </w:pPr>
            <w:r w:rsidRPr="005F452A">
              <w:rPr>
                <w:lang w:val="es-ES" w:eastAsia="es-MX"/>
              </w:rPr>
              <w:t xml:space="preserve">Formatos impresos en tamaño media carta (14 x 21.5 cm), a 4 tintas (color completo)  </w:t>
            </w:r>
          </w:p>
          <w:p w14:paraId="0EC60552" w14:textId="77777777" w:rsidR="005F452A" w:rsidRPr="005F452A" w:rsidRDefault="005F452A" w:rsidP="005F452A">
            <w:pPr>
              <w:jc w:val="both"/>
              <w:rPr>
                <w:lang w:val="es-ES" w:eastAsia="es-MX"/>
              </w:rPr>
            </w:pPr>
            <w:r w:rsidRPr="005F452A">
              <w:rPr>
                <w:lang w:val="es-ES" w:eastAsia="es-MX"/>
              </w:rPr>
              <w:t>Cada formato deberá contar con:</w:t>
            </w:r>
          </w:p>
          <w:p w14:paraId="5DC6D814" w14:textId="77777777" w:rsidR="005F452A" w:rsidRPr="005F452A" w:rsidRDefault="005F452A" w:rsidP="005F452A">
            <w:pPr>
              <w:jc w:val="both"/>
              <w:rPr>
                <w:lang w:val="es-ES" w:eastAsia="es-MX"/>
              </w:rPr>
            </w:pPr>
            <w:r w:rsidRPr="005F452A">
              <w:rPr>
                <w:lang w:val="es-ES" w:eastAsia="es-MX"/>
              </w:rPr>
              <w:t>Juego de original y copia (autocopia), permitiendo generar duplicados de manera inmediata sin necesidad de papel carbón.</w:t>
            </w:r>
          </w:p>
          <w:p w14:paraId="305C676F" w14:textId="77777777" w:rsidR="005F452A" w:rsidRPr="005F452A" w:rsidRDefault="005F452A" w:rsidP="005F452A">
            <w:pPr>
              <w:jc w:val="both"/>
              <w:rPr>
                <w:lang w:val="es-ES" w:eastAsia="es-MX"/>
              </w:rPr>
            </w:pPr>
            <w:r w:rsidRPr="005F452A">
              <w:rPr>
                <w:lang w:val="es-ES" w:eastAsia="es-MX"/>
              </w:rPr>
              <w:t>Foliado consecutivo personalizado.</w:t>
            </w:r>
          </w:p>
          <w:p w14:paraId="63F8E3F1" w14:textId="77777777" w:rsidR="005F452A" w:rsidRPr="005F452A" w:rsidRDefault="005F452A" w:rsidP="005F452A">
            <w:pPr>
              <w:jc w:val="both"/>
              <w:rPr>
                <w:lang w:val="es-ES" w:eastAsia="es-MX"/>
              </w:rPr>
            </w:pPr>
            <w:r w:rsidRPr="005F452A">
              <w:rPr>
                <w:lang w:val="es-ES" w:eastAsia="es-MX"/>
              </w:rPr>
              <w:t>Engrapado en block de 50 juegos, con cartón rígido posterior para mayor soporte y durabilidad en el uso diario.</w:t>
            </w:r>
          </w:p>
          <w:p w14:paraId="5E4D6D7D" w14:textId="77777777" w:rsidR="005F452A" w:rsidRPr="005F452A" w:rsidRDefault="005F452A" w:rsidP="005F452A">
            <w:pPr>
              <w:jc w:val="both"/>
              <w:rPr>
                <w:lang w:val="es-ES" w:eastAsia="es-MX"/>
              </w:rPr>
            </w:pPr>
            <w:r w:rsidRPr="005F452A">
              <w:rPr>
                <w:lang w:val="es-ES" w:eastAsia="es-MX"/>
              </w:rPr>
              <w:t>Diseño personalizado e impreso en alta calidad.</w:t>
            </w:r>
          </w:p>
          <w:p w14:paraId="5B6E458D" w14:textId="77777777" w:rsidR="005F452A" w:rsidRPr="005F452A" w:rsidRDefault="005F452A" w:rsidP="005F452A">
            <w:pPr>
              <w:jc w:val="both"/>
              <w:rPr>
                <w:lang w:val="es-ES" w:eastAsia="es-MX"/>
              </w:rPr>
            </w:pPr>
            <w:r w:rsidRPr="005F452A">
              <w:rPr>
                <w:lang w:val="es-ES" w:eastAsia="es-MX"/>
              </w:rPr>
              <w:t>Impresos en papel de alta calidad:</w:t>
            </w:r>
          </w:p>
          <w:p w14:paraId="306F16B4" w14:textId="77777777" w:rsidR="005F452A" w:rsidRPr="005F452A" w:rsidRDefault="005F452A" w:rsidP="005F452A">
            <w:pPr>
              <w:jc w:val="both"/>
              <w:rPr>
                <w:lang w:val="es-ES" w:eastAsia="es-MX"/>
              </w:rPr>
            </w:pPr>
            <w:r w:rsidRPr="005F452A">
              <w:rPr>
                <w:lang w:val="es-ES" w:eastAsia="es-MX"/>
              </w:rPr>
              <w:t>Original: bond a impresión personalizada.</w:t>
            </w:r>
          </w:p>
          <w:p w14:paraId="30C6C11F" w14:textId="77777777" w:rsidR="005F452A" w:rsidRPr="005F452A" w:rsidRDefault="005F452A" w:rsidP="005F452A">
            <w:pPr>
              <w:widowControl w:val="0"/>
              <w:autoSpaceDE w:val="0"/>
              <w:autoSpaceDN w:val="0"/>
              <w:spacing w:before="131" w:line="248" w:lineRule="exact"/>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Copia: papel químico color (amarillo, rosa o azul)</w:t>
            </w:r>
          </w:p>
        </w:tc>
        <w:tc>
          <w:tcPr>
            <w:tcW w:w="1417" w:type="dxa"/>
            <w:noWrap/>
          </w:tcPr>
          <w:p w14:paraId="53EB91E9" w14:textId="77777777" w:rsidR="005F452A" w:rsidRPr="005F452A" w:rsidRDefault="005F452A" w:rsidP="005F452A">
            <w:pPr>
              <w:jc w:val="center"/>
              <w:rPr>
                <w:rFonts w:ascii="Verdana" w:hAnsi="Verdana"/>
                <w:sz w:val="18"/>
                <w:szCs w:val="18"/>
              </w:rPr>
            </w:pPr>
            <w:r w:rsidRPr="005F452A">
              <w:rPr>
                <w:lang w:eastAsia="es-MX"/>
              </w:rPr>
              <w:t>14,000</w:t>
            </w:r>
          </w:p>
        </w:tc>
        <w:tc>
          <w:tcPr>
            <w:tcW w:w="1276" w:type="dxa"/>
          </w:tcPr>
          <w:p w14:paraId="0F4974B5" w14:textId="77777777" w:rsidR="005F452A" w:rsidRPr="005F452A" w:rsidRDefault="005F452A" w:rsidP="005F452A">
            <w:pPr>
              <w:jc w:val="center"/>
              <w:rPr>
                <w:rFonts w:ascii="Verdana" w:hAnsi="Verdana"/>
                <w:sz w:val="18"/>
                <w:szCs w:val="18"/>
              </w:rPr>
            </w:pPr>
            <w:r w:rsidRPr="005F452A">
              <w:rPr>
                <w:lang w:eastAsia="es-MX"/>
              </w:rPr>
              <w:t>Formatos</w:t>
            </w:r>
          </w:p>
        </w:tc>
      </w:tr>
      <w:tr w:rsidR="005F452A" w:rsidRPr="005F452A" w14:paraId="12B25CB8" w14:textId="77777777" w:rsidTr="002A068B">
        <w:trPr>
          <w:trHeight w:val="50"/>
        </w:trPr>
        <w:tc>
          <w:tcPr>
            <w:tcW w:w="1185" w:type="dxa"/>
            <w:noWrap/>
          </w:tcPr>
          <w:p w14:paraId="2C9EFC89" w14:textId="77777777" w:rsidR="005F452A" w:rsidRPr="005F452A" w:rsidRDefault="005F452A" w:rsidP="005F452A">
            <w:pPr>
              <w:jc w:val="center"/>
              <w:rPr>
                <w:rFonts w:ascii="Verdana" w:hAnsi="Verdana"/>
                <w:sz w:val="18"/>
                <w:szCs w:val="18"/>
              </w:rPr>
            </w:pPr>
            <w:r w:rsidRPr="005F452A">
              <w:rPr>
                <w:rFonts w:ascii="Verdana" w:hAnsi="Verdana"/>
                <w:sz w:val="18"/>
                <w:szCs w:val="18"/>
              </w:rPr>
              <w:t>7</w:t>
            </w:r>
          </w:p>
        </w:tc>
        <w:tc>
          <w:tcPr>
            <w:tcW w:w="6134" w:type="dxa"/>
            <w:noWrap/>
          </w:tcPr>
          <w:p w14:paraId="6A4ACBBD" w14:textId="77777777" w:rsidR="005F452A" w:rsidRPr="005F452A" w:rsidRDefault="005F452A" w:rsidP="005F452A">
            <w:pPr>
              <w:jc w:val="both"/>
              <w:rPr>
                <w:lang w:val="es-ES" w:eastAsia="es-MX"/>
              </w:rPr>
            </w:pPr>
          </w:p>
          <w:p w14:paraId="3B2651C7" w14:textId="179B9D21" w:rsidR="005F452A" w:rsidRPr="005F452A" w:rsidRDefault="005F452A" w:rsidP="005F452A">
            <w:pPr>
              <w:jc w:val="both"/>
              <w:rPr>
                <w:lang w:val="es-ES" w:eastAsia="es-MX"/>
              </w:rPr>
            </w:pPr>
            <w:r w:rsidRPr="005F452A">
              <w:rPr>
                <w:lang w:val="es-ES" w:eastAsia="es-MX"/>
              </w:rPr>
              <w:t xml:space="preserve">Instalación de logotipo personalizado, elaborado en placa de acero inoxidable de alta calidad, con acabado preparado para resistir condiciones de intemperie sin perder brillo ni integridad estructural. El diseño se presenta empotrado en el muro de oficinas, con una medida de 2.5 metros de largo y una proporción de ancho aproximada de 40 centímetros. La placa debe contar con una separación de aproximadamente 7 cm respecto al muro, lo que </w:t>
            </w:r>
            <w:r w:rsidRPr="005F452A">
              <w:rPr>
                <w:lang w:val="es-ES" w:eastAsia="es-MX"/>
              </w:rPr>
              <w:lastRenderedPageBreak/>
              <w:t>genera un efecto flotante, y con fijaciones ocultas, garantizando una apariencia limpia.</w:t>
            </w:r>
          </w:p>
        </w:tc>
        <w:tc>
          <w:tcPr>
            <w:tcW w:w="1417" w:type="dxa"/>
            <w:noWrap/>
          </w:tcPr>
          <w:p w14:paraId="481C23FF" w14:textId="77777777" w:rsidR="005F452A" w:rsidRPr="005F452A" w:rsidRDefault="005F452A" w:rsidP="005F452A">
            <w:pPr>
              <w:jc w:val="center"/>
              <w:rPr>
                <w:rFonts w:ascii="Verdana" w:hAnsi="Verdana"/>
                <w:sz w:val="18"/>
                <w:szCs w:val="18"/>
              </w:rPr>
            </w:pPr>
            <w:r w:rsidRPr="005F452A">
              <w:rPr>
                <w:lang w:eastAsia="es-MX"/>
              </w:rPr>
              <w:lastRenderedPageBreak/>
              <w:t>1</w:t>
            </w:r>
          </w:p>
        </w:tc>
        <w:tc>
          <w:tcPr>
            <w:tcW w:w="1276" w:type="dxa"/>
          </w:tcPr>
          <w:p w14:paraId="7A9DCC45" w14:textId="77777777" w:rsidR="005F452A" w:rsidRPr="005F452A" w:rsidRDefault="005F452A" w:rsidP="005F452A">
            <w:pPr>
              <w:jc w:val="center"/>
              <w:rPr>
                <w:rFonts w:ascii="Verdana" w:hAnsi="Verdana"/>
                <w:sz w:val="18"/>
                <w:szCs w:val="18"/>
              </w:rPr>
            </w:pPr>
            <w:r w:rsidRPr="005F452A">
              <w:rPr>
                <w:lang w:eastAsia="es-MX"/>
              </w:rPr>
              <w:t>Logo Acero Inoxidable</w:t>
            </w:r>
          </w:p>
        </w:tc>
      </w:tr>
      <w:tr w:rsidR="005F452A" w:rsidRPr="005F452A" w14:paraId="04253BA8" w14:textId="77777777" w:rsidTr="002A068B">
        <w:trPr>
          <w:trHeight w:val="65"/>
        </w:trPr>
        <w:tc>
          <w:tcPr>
            <w:tcW w:w="1185" w:type="dxa"/>
            <w:noWrap/>
          </w:tcPr>
          <w:p w14:paraId="5F9BB6D0" w14:textId="77777777" w:rsidR="005F452A" w:rsidRPr="005F452A" w:rsidRDefault="005F452A" w:rsidP="005F452A">
            <w:pPr>
              <w:jc w:val="center"/>
              <w:rPr>
                <w:rFonts w:ascii="Verdana" w:hAnsi="Verdana"/>
                <w:sz w:val="18"/>
                <w:szCs w:val="18"/>
              </w:rPr>
            </w:pPr>
            <w:r w:rsidRPr="005F452A">
              <w:rPr>
                <w:rFonts w:ascii="Verdana" w:hAnsi="Verdana"/>
                <w:sz w:val="18"/>
                <w:szCs w:val="18"/>
              </w:rPr>
              <w:t>8</w:t>
            </w:r>
          </w:p>
        </w:tc>
        <w:tc>
          <w:tcPr>
            <w:tcW w:w="6134" w:type="dxa"/>
            <w:noWrap/>
          </w:tcPr>
          <w:p w14:paraId="73C13DB3" w14:textId="77777777" w:rsidR="005F452A" w:rsidRPr="005F452A" w:rsidRDefault="005F452A" w:rsidP="005F452A">
            <w:pPr>
              <w:widowControl w:val="0"/>
              <w:autoSpaceDE w:val="0"/>
              <w:autoSpaceDN w:val="0"/>
              <w:spacing w:before="131" w:line="248" w:lineRule="exact"/>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 xml:space="preserve">Placa de </w:t>
            </w:r>
            <w:proofErr w:type="spellStart"/>
            <w:r w:rsidRPr="005F452A">
              <w:rPr>
                <w:rFonts w:ascii="Calibri" w:eastAsia="Calibri" w:hAnsi="Calibri" w:cs="Calibri"/>
                <w:kern w:val="0"/>
                <w:lang w:val="es-ES" w:eastAsia="es-MX"/>
                <w14:ligatures w14:val="none"/>
              </w:rPr>
              <w:t>Coroplast</w:t>
            </w:r>
            <w:proofErr w:type="spellEnd"/>
            <w:r w:rsidRPr="005F452A">
              <w:rPr>
                <w:rFonts w:ascii="Calibri" w:eastAsia="Calibri" w:hAnsi="Calibri" w:cs="Calibri"/>
                <w:kern w:val="0"/>
                <w:lang w:val="es-ES" w:eastAsia="es-MX"/>
                <w14:ligatures w14:val="none"/>
              </w:rPr>
              <w:t xml:space="preserve"> en medida de 60 x 90 cm, ideal para señalización, publicidad o información visual en interiores y exteriores. Impresión en alta resolución, personalizado y a selección de color.</w:t>
            </w:r>
          </w:p>
        </w:tc>
        <w:tc>
          <w:tcPr>
            <w:tcW w:w="1417" w:type="dxa"/>
            <w:noWrap/>
          </w:tcPr>
          <w:p w14:paraId="5768EAB2" w14:textId="77777777" w:rsidR="005F452A" w:rsidRPr="005F452A" w:rsidRDefault="005F452A" w:rsidP="005F452A">
            <w:pPr>
              <w:jc w:val="center"/>
              <w:rPr>
                <w:rFonts w:ascii="Verdana" w:hAnsi="Verdana"/>
                <w:sz w:val="18"/>
                <w:szCs w:val="18"/>
              </w:rPr>
            </w:pPr>
            <w:r w:rsidRPr="005F452A">
              <w:rPr>
                <w:lang w:eastAsia="es-MX"/>
              </w:rPr>
              <w:t>17</w:t>
            </w:r>
          </w:p>
        </w:tc>
        <w:tc>
          <w:tcPr>
            <w:tcW w:w="1276" w:type="dxa"/>
          </w:tcPr>
          <w:p w14:paraId="6F009371" w14:textId="77777777" w:rsidR="005F452A" w:rsidRPr="005F452A" w:rsidRDefault="005F452A" w:rsidP="005F452A">
            <w:pPr>
              <w:jc w:val="center"/>
              <w:rPr>
                <w:rFonts w:ascii="Verdana" w:hAnsi="Verdana"/>
                <w:sz w:val="18"/>
                <w:szCs w:val="18"/>
              </w:rPr>
            </w:pPr>
            <w:proofErr w:type="spellStart"/>
            <w:r w:rsidRPr="005F452A">
              <w:rPr>
                <w:lang w:eastAsia="es-MX"/>
              </w:rPr>
              <w:t>Coroplast</w:t>
            </w:r>
            <w:proofErr w:type="spellEnd"/>
            <w:r w:rsidRPr="005F452A">
              <w:rPr>
                <w:lang w:eastAsia="es-MX"/>
              </w:rPr>
              <w:t xml:space="preserve"> Impresos</w:t>
            </w:r>
          </w:p>
        </w:tc>
      </w:tr>
      <w:tr w:rsidR="005F452A" w:rsidRPr="005F452A" w14:paraId="5AA3C365" w14:textId="77777777" w:rsidTr="002A068B">
        <w:trPr>
          <w:trHeight w:val="65"/>
        </w:trPr>
        <w:tc>
          <w:tcPr>
            <w:tcW w:w="1185" w:type="dxa"/>
            <w:noWrap/>
          </w:tcPr>
          <w:p w14:paraId="236E5B33" w14:textId="77777777" w:rsidR="005F452A" w:rsidRPr="005F452A" w:rsidRDefault="005F452A" w:rsidP="005F452A">
            <w:pPr>
              <w:jc w:val="center"/>
              <w:rPr>
                <w:rFonts w:ascii="Verdana" w:hAnsi="Verdana"/>
                <w:sz w:val="18"/>
                <w:szCs w:val="18"/>
              </w:rPr>
            </w:pPr>
            <w:r w:rsidRPr="005F452A">
              <w:rPr>
                <w:rFonts w:ascii="Verdana" w:hAnsi="Verdana"/>
                <w:sz w:val="18"/>
                <w:szCs w:val="18"/>
              </w:rPr>
              <w:t>9</w:t>
            </w:r>
          </w:p>
        </w:tc>
        <w:tc>
          <w:tcPr>
            <w:tcW w:w="6134" w:type="dxa"/>
            <w:noWrap/>
          </w:tcPr>
          <w:p w14:paraId="5BAD6BB9" w14:textId="77777777" w:rsidR="005F452A" w:rsidRPr="005F452A" w:rsidRDefault="005F452A" w:rsidP="005F452A">
            <w:pPr>
              <w:widowControl w:val="0"/>
              <w:autoSpaceDE w:val="0"/>
              <w:autoSpaceDN w:val="0"/>
              <w:spacing w:before="131" w:line="248" w:lineRule="exact"/>
              <w:ind w:left="21"/>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Piezas de señalética, corte vinil en diferentes colores, piezas de señalética que incluyen oficinas, baños, salidas de emergencia entre otros, implican diferentes dimensiones a libre elección.</w:t>
            </w:r>
          </w:p>
        </w:tc>
        <w:tc>
          <w:tcPr>
            <w:tcW w:w="1417" w:type="dxa"/>
            <w:noWrap/>
          </w:tcPr>
          <w:p w14:paraId="270A7AE4" w14:textId="77777777" w:rsidR="005F452A" w:rsidRPr="005F452A" w:rsidRDefault="005F452A" w:rsidP="005F452A">
            <w:pPr>
              <w:jc w:val="center"/>
              <w:rPr>
                <w:rFonts w:ascii="Verdana" w:hAnsi="Verdana"/>
                <w:sz w:val="18"/>
                <w:szCs w:val="18"/>
              </w:rPr>
            </w:pPr>
            <w:r w:rsidRPr="005F452A">
              <w:rPr>
                <w:lang w:eastAsia="es-MX"/>
              </w:rPr>
              <w:t>12</w:t>
            </w:r>
          </w:p>
        </w:tc>
        <w:tc>
          <w:tcPr>
            <w:tcW w:w="1276" w:type="dxa"/>
          </w:tcPr>
          <w:p w14:paraId="581938C5" w14:textId="77777777" w:rsidR="005F452A" w:rsidRPr="005F452A" w:rsidRDefault="005F452A" w:rsidP="005F452A">
            <w:pPr>
              <w:jc w:val="center"/>
              <w:rPr>
                <w:rFonts w:ascii="Verdana" w:hAnsi="Verdana"/>
                <w:sz w:val="18"/>
                <w:szCs w:val="18"/>
              </w:rPr>
            </w:pPr>
            <w:r w:rsidRPr="005F452A">
              <w:rPr>
                <w:lang w:eastAsia="es-MX"/>
              </w:rPr>
              <w:t>Mt2 de Corte Vinil Selección a Color</w:t>
            </w:r>
          </w:p>
        </w:tc>
      </w:tr>
      <w:tr w:rsidR="005F452A" w:rsidRPr="005F452A" w14:paraId="5236F151" w14:textId="77777777" w:rsidTr="002A068B">
        <w:trPr>
          <w:trHeight w:val="65"/>
        </w:trPr>
        <w:tc>
          <w:tcPr>
            <w:tcW w:w="1185" w:type="dxa"/>
            <w:noWrap/>
          </w:tcPr>
          <w:p w14:paraId="578BCDC3" w14:textId="77777777" w:rsidR="005F452A" w:rsidRPr="005F452A" w:rsidRDefault="005F452A" w:rsidP="005F452A">
            <w:pPr>
              <w:jc w:val="center"/>
              <w:rPr>
                <w:rFonts w:ascii="Verdana" w:hAnsi="Verdana"/>
                <w:sz w:val="18"/>
                <w:szCs w:val="18"/>
              </w:rPr>
            </w:pPr>
            <w:r w:rsidRPr="005F452A">
              <w:rPr>
                <w:rFonts w:ascii="Verdana" w:hAnsi="Verdana"/>
                <w:sz w:val="18"/>
                <w:szCs w:val="18"/>
              </w:rPr>
              <w:t>10</w:t>
            </w:r>
          </w:p>
        </w:tc>
        <w:tc>
          <w:tcPr>
            <w:tcW w:w="6134" w:type="dxa"/>
            <w:noWrap/>
          </w:tcPr>
          <w:p w14:paraId="2961840A" w14:textId="77777777" w:rsidR="005F452A" w:rsidRPr="005F452A" w:rsidRDefault="005F452A" w:rsidP="005F452A">
            <w:pPr>
              <w:widowControl w:val="0"/>
              <w:autoSpaceDE w:val="0"/>
              <w:autoSpaceDN w:val="0"/>
              <w:spacing w:before="131" w:line="248" w:lineRule="exact"/>
              <w:ind w:left="21"/>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Lonas de 1 metro x 2 metros genéricas, bastilla y ojillos a 3 centímetros, impreso en alta resolución, diseño personalizado y selección a color.</w:t>
            </w:r>
          </w:p>
        </w:tc>
        <w:tc>
          <w:tcPr>
            <w:tcW w:w="1417" w:type="dxa"/>
            <w:noWrap/>
          </w:tcPr>
          <w:p w14:paraId="1D133114" w14:textId="77777777" w:rsidR="005F452A" w:rsidRPr="005F452A" w:rsidRDefault="005F452A" w:rsidP="005F452A">
            <w:pPr>
              <w:jc w:val="center"/>
              <w:rPr>
                <w:rFonts w:ascii="Verdana" w:hAnsi="Verdana"/>
                <w:sz w:val="18"/>
                <w:szCs w:val="18"/>
              </w:rPr>
            </w:pPr>
            <w:r w:rsidRPr="005F452A">
              <w:rPr>
                <w:lang w:eastAsia="es-MX"/>
              </w:rPr>
              <w:t>15</w:t>
            </w:r>
          </w:p>
        </w:tc>
        <w:tc>
          <w:tcPr>
            <w:tcW w:w="1276" w:type="dxa"/>
          </w:tcPr>
          <w:p w14:paraId="044E7DA6" w14:textId="77777777" w:rsidR="005F452A" w:rsidRPr="005F452A" w:rsidRDefault="005F452A" w:rsidP="005F452A">
            <w:pPr>
              <w:jc w:val="center"/>
              <w:rPr>
                <w:rFonts w:ascii="Verdana" w:hAnsi="Verdana"/>
                <w:sz w:val="18"/>
                <w:szCs w:val="18"/>
              </w:rPr>
            </w:pPr>
            <w:r w:rsidRPr="005F452A">
              <w:rPr>
                <w:lang w:eastAsia="es-MX"/>
              </w:rPr>
              <w:t>Piezas</w:t>
            </w:r>
          </w:p>
        </w:tc>
      </w:tr>
      <w:tr w:rsidR="005F452A" w:rsidRPr="005F452A" w14:paraId="2EB8DD7A" w14:textId="77777777" w:rsidTr="002A068B">
        <w:trPr>
          <w:trHeight w:val="65"/>
        </w:trPr>
        <w:tc>
          <w:tcPr>
            <w:tcW w:w="1185" w:type="dxa"/>
            <w:noWrap/>
          </w:tcPr>
          <w:p w14:paraId="20D48A1E" w14:textId="77777777" w:rsidR="005F452A" w:rsidRPr="005F452A" w:rsidRDefault="005F452A" w:rsidP="005F452A">
            <w:pPr>
              <w:jc w:val="center"/>
              <w:rPr>
                <w:rFonts w:ascii="Verdana" w:hAnsi="Verdana"/>
                <w:sz w:val="18"/>
                <w:szCs w:val="18"/>
              </w:rPr>
            </w:pPr>
            <w:r w:rsidRPr="005F452A">
              <w:rPr>
                <w:rFonts w:ascii="Verdana" w:hAnsi="Verdana"/>
                <w:sz w:val="18"/>
                <w:szCs w:val="18"/>
              </w:rPr>
              <w:t>11</w:t>
            </w:r>
          </w:p>
        </w:tc>
        <w:tc>
          <w:tcPr>
            <w:tcW w:w="6134" w:type="dxa"/>
            <w:noWrap/>
          </w:tcPr>
          <w:p w14:paraId="14C364A3" w14:textId="77777777" w:rsidR="005F452A" w:rsidRPr="005F452A" w:rsidRDefault="005F452A" w:rsidP="005F452A">
            <w:pPr>
              <w:jc w:val="both"/>
              <w:rPr>
                <w:lang w:eastAsia="es-MX"/>
              </w:rPr>
            </w:pPr>
            <w:r w:rsidRPr="005F452A">
              <w:rPr>
                <w:lang w:eastAsia="es-MX"/>
              </w:rPr>
              <w:t>Tarjetas de presentación con acabado profesional, diseño con esquinas redondeadas, impresión a color en alta resolución en ambas caras, acabado mate en mayor extensión, complementado con elementos destacados en brillo selectivo que resaltan áreas específicas del diseño.</w:t>
            </w:r>
          </w:p>
        </w:tc>
        <w:tc>
          <w:tcPr>
            <w:tcW w:w="1417" w:type="dxa"/>
            <w:noWrap/>
          </w:tcPr>
          <w:p w14:paraId="26F87C7C" w14:textId="77777777" w:rsidR="005F452A" w:rsidRPr="005F452A" w:rsidRDefault="005F452A" w:rsidP="005F452A">
            <w:pPr>
              <w:jc w:val="center"/>
              <w:rPr>
                <w:rFonts w:ascii="Verdana" w:hAnsi="Verdana"/>
                <w:sz w:val="18"/>
                <w:szCs w:val="18"/>
              </w:rPr>
            </w:pPr>
            <w:r w:rsidRPr="005F452A">
              <w:rPr>
                <w:lang w:eastAsia="es-MX"/>
              </w:rPr>
              <w:t>6</w:t>
            </w:r>
          </w:p>
        </w:tc>
        <w:tc>
          <w:tcPr>
            <w:tcW w:w="1276" w:type="dxa"/>
          </w:tcPr>
          <w:p w14:paraId="25CC6E86" w14:textId="77777777" w:rsidR="005F452A" w:rsidRPr="005F452A" w:rsidRDefault="005F452A" w:rsidP="005F452A">
            <w:pPr>
              <w:jc w:val="center"/>
              <w:rPr>
                <w:rFonts w:ascii="Verdana" w:hAnsi="Verdana"/>
                <w:sz w:val="18"/>
                <w:szCs w:val="18"/>
              </w:rPr>
            </w:pPr>
            <w:r w:rsidRPr="005F452A">
              <w:rPr>
                <w:lang w:eastAsia="es-MX"/>
              </w:rPr>
              <w:t xml:space="preserve">Millares </w:t>
            </w:r>
          </w:p>
        </w:tc>
      </w:tr>
      <w:tr w:rsidR="005F452A" w:rsidRPr="005F452A" w14:paraId="68329EED" w14:textId="77777777" w:rsidTr="002A068B">
        <w:trPr>
          <w:trHeight w:val="65"/>
        </w:trPr>
        <w:tc>
          <w:tcPr>
            <w:tcW w:w="1185" w:type="dxa"/>
            <w:noWrap/>
          </w:tcPr>
          <w:p w14:paraId="05156026" w14:textId="77777777" w:rsidR="005F452A" w:rsidRPr="005F452A" w:rsidRDefault="005F452A" w:rsidP="005F452A">
            <w:pPr>
              <w:jc w:val="center"/>
              <w:rPr>
                <w:rFonts w:ascii="Verdana" w:hAnsi="Verdana"/>
                <w:sz w:val="18"/>
                <w:szCs w:val="18"/>
              </w:rPr>
            </w:pPr>
            <w:r w:rsidRPr="005F452A">
              <w:rPr>
                <w:rFonts w:ascii="Verdana" w:hAnsi="Verdana"/>
                <w:sz w:val="18"/>
                <w:szCs w:val="18"/>
              </w:rPr>
              <w:t>12</w:t>
            </w:r>
          </w:p>
        </w:tc>
        <w:tc>
          <w:tcPr>
            <w:tcW w:w="6134" w:type="dxa"/>
            <w:noWrap/>
          </w:tcPr>
          <w:p w14:paraId="20164894" w14:textId="77777777" w:rsidR="005F452A" w:rsidRPr="005F452A" w:rsidRDefault="005F452A" w:rsidP="005F452A">
            <w:pPr>
              <w:widowControl w:val="0"/>
              <w:autoSpaceDE w:val="0"/>
              <w:autoSpaceDN w:val="0"/>
              <w:spacing w:before="131" w:line="248" w:lineRule="exact"/>
              <w:ind w:left="21"/>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 xml:space="preserve">Placas de </w:t>
            </w:r>
            <w:proofErr w:type="spellStart"/>
            <w:r w:rsidRPr="005F452A">
              <w:rPr>
                <w:rFonts w:ascii="Calibri" w:eastAsia="Calibri" w:hAnsi="Calibri" w:cs="Calibri"/>
                <w:kern w:val="0"/>
                <w:lang w:val="es-ES" w:eastAsia="es-MX"/>
                <w14:ligatures w14:val="none"/>
              </w:rPr>
              <w:t>trovicel</w:t>
            </w:r>
            <w:proofErr w:type="spellEnd"/>
            <w:r w:rsidRPr="005F452A">
              <w:rPr>
                <w:rFonts w:ascii="Calibri" w:eastAsia="Calibri" w:hAnsi="Calibri" w:cs="Calibri"/>
                <w:kern w:val="0"/>
                <w:lang w:val="es-ES" w:eastAsia="es-MX"/>
                <w14:ligatures w14:val="none"/>
              </w:rPr>
              <w:t xml:space="preserve"> para piezas de señalética, impresión sobre este en alta resolución, selección a color, las piezas de señalética incluyen oficinas, baños, salidas de emergencia entre otros e implican diferentes dimensiones a libre elección.</w:t>
            </w:r>
          </w:p>
        </w:tc>
        <w:tc>
          <w:tcPr>
            <w:tcW w:w="1417" w:type="dxa"/>
            <w:noWrap/>
          </w:tcPr>
          <w:p w14:paraId="11EB2724" w14:textId="77777777" w:rsidR="005F452A" w:rsidRPr="005F452A" w:rsidRDefault="005F452A" w:rsidP="005F452A">
            <w:pPr>
              <w:jc w:val="center"/>
              <w:rPr>
                <w:rFonts w:ascii="Verdana" w:hAnsi="Verdana"/>
                <w:sz w:val="18"/>
                <w:szCs w:val="18"/>
              </w:rPr>
            </w:pPr>
            <w:r w:rsidRPr="005F452A">
              <w:rPr>
                <w:lang w:eastAsia="es-MX"/>
              </w:rPr>
              <w:t>4</w:t>
            </w:r>
          </w:p>
        </w:tc>
        <w:tc>
          <w:tcPr>
            <w:tcW w:w="1276" w:type="dxa"/>
          </w:tcPr>
          <w:p w14:paraId="05494D99" w14:textId="77777777" w:rsidR="005F452A" w:rsidRPr="005F452A" w:rsidRDefault="005F452A" w:rsidP="005F452A">
            <w:pPr>
              <w:jc w:val="center"/>
              <w:rPr>
                <w:rFonts w:ascii="Verdana" w:hAnsi="Verdana"/>
                <w:sz w:val="18"/>
                <w:szCs w:val="18"/>
              </w:rPr>
            </w:pPr>
            <w:r w:rsidRPr="005F452A">
              <w:rPr>
                <w:lang w:eastAsia="es-MX"/>
              </w:rPr>
              <w:t>Mt2</w:t>
            </w:r>
          </w:p>
        </w:tc>
      </w:tr>
      <w:tr w:rsidR="005F452A" w:rsidRPr="005F452A" w14:paraId="410D69BE" w14:textId="77777777" w:rsidTr="002A068B">
        <w:trPr>
          <w:trHeight w:val="65"/>
        </w:trPr>
        <w:tc>
          <w:tcPr>
            <w:tcW w:w="1185" w:type="dxa"/>
            <w:noWrap/>
          </w:tcPr>
          <w:p w14:paraId="7907DAB6" w14:textId="77777777" w:rsidR="005F452A" w:rsidRPr="005F452A" w:rsidRDefault="005F452A" w:rsidP="005F452A">
            <w:pPr>
              <w:jc w:val="center"/>
              <w:rPr>
                <w:rFonts w:ascii="Verdana" w:hAnsi="Verdana"/>
                <w:sz w:val="18"/>
                <w:szCs w:val="18"/>
              </w:rPr>
            </w:pPr>
            <w:r w:rsidRPr="005F452A">
              <w:rPr>
                <w:rFonts w:ascii="Verdana" w:hAnsi="Verdana"/>
                <w:sz w:val="18"/>
                <w:szCs w:val="18"/>
              </w:rPr>
              <w:t>13</w:t>
            </w:r>
          </w:p>
        </w:tc>
        <w:tc>
          <w:tcPr>
            <w:tcW w:w="6134" w:type="dxa"/>
            <w:noWrap/>
          </w:tcPr>
          <w:p w14:paraId="3D5E788B" w14:textId="77777777" w:rsidR="005F452A" w:rsidRPr="005F452A" w:rsidRDefault="005F452A" w:rsidP="005F452A">
            <w:pPr>
              <w:widowControl w:val="0"/>
              <w:autoSpaceDE w:val="0"/>
              <w:autoSpaceDN w:val="0"/>
              <w:spacing w:before="131" w:line="248" w:lineRule="exact"/>
              <w:ind w:left="21"/>
              <w:jc w:val="both"/>
              <w:rPr>
                <w:rFonts w:ascii="Verdana" w:eastAsia="Calibri" w:hAnsi="Verdana" w:cs="Calibri"/>
                <w:kern w:val="0"/>
                <w:sz w:val="18"/>
                <w:szCs w:val="18"/>
                <w:lang w:val="es-ES"/>
                <w14:ligatures w14:val="none"/>
              </w:rPr>
            </w:pPr>
            <w:r w:rsidRPr="005F452A">
              <w:rPr>
                <w:rFonts w:ascii="Calibri" w:eastAsia="Calibri" w:hAnsi="Calibri" w:cs="Calibri"/>
                <w:kern w:val="0"/>
                <w:lang w:val="es-ES" w:eastAsia="es-MX"/>
                <w14:ligatures w14:val="none"/>
              </w:rPr>
              <w:t>Lona impresa en alta resolución, selección a color con bastilla y ojillos, para piezas publicitarios, informativas o de difusión, implican diferentes dimensiones a libre elección con diseños personalizados.</w:t>
            </w:r>
          </w:p>
        </w:tc>
        <w:tc>
          <w:tcPr>
            <w:tcW w:w="1417" w:type="dxa"/>
            <w:noWrap/>
          </w:tcPr>
          <w:p w14:paraId="6C435338" w14:textId="77777777" w:rsidR="005F452A" w:rsidRPr="005F452A" w:rsidRDefault="005F452A" w:rsidP="005F452A">
            <w:pPr>
              <w:jc w:val="center"/>
              <w:rPr>
                <w:rFonts w:ascii="Verdana" w:hAnsi="Verdana"/>
                <w:sz w:val="18"/>
                <w:szCs w:val="18"/>
              </w:rPr>
            </w:pPr>
            <w:r w:rsidRPr="005F452A">
              <w:rPr>
                <w:lang w:eastAsia="es-MX"/>
              </w:rPr>
              <w:t>50</w:t>
            </w:r>
          </w:p>
        </w:tc>
        <w:tc>
          <w:tcPr>
            <w:tcW w:w="1276" w:type="dxa"/>
          </w:tcPr>
          <w:p w14:paraId="6DDC8CAB" w14:textId="77777777" w:rsidR="005F452A" w:rsidRPr="005F452A" w:rsidRDefault="005F452A" w:rsidP="005F452A">
            <w:pPr>
              <w:jc w:val="center"/>
              <w:rPr>
                <w:rFonts w:ascii="Verdana" w:hAnsi="Verdana"/>
                <w:sz w:val="18"/>
                <w:szCs w:val="18"/>
              </w:rPr>
            </w:pPr>
            <w:r w:rsidRPr="005F452A">
              <w:rPr>
                <w:lang w:eastAsia="es-MX"/>
              </w:rPr>
              <w:t>Mt2</w:t>
            </w:r>
          </w:p>
        </w:tc>
      </w:tr>
      <w:bookmarkEnd w:id="5"/>
    </w:tbl>
    <w:p w14:paraId="25AAF77C" w14:textId="77777777" w:rsidR="00CC21C7" w:rsidRDefault="00CC21C7" w:rsidP="00E06766">
      <w:pPr>
        <w:spacing w:after="0" w:line="240" w:lineRule="auto"/>
        <w:jc w:val="both"/>
        <w:rPr>
          <w:rFonts w:ascii="Calibri" w:eastAsia="Times New Roman" w:hAnsi="Calibri" w:cs="Times New Roman"/>
          <w:b/>
          <w:kern w:val="0"/>
          <w:lang w:eastAsia="es-MX"/>
          <w14:ligatures w14:val="none"/>
        </w:rPr>
      </w:pPr>
    </w:p>
    <w:p w14:paraId="1EF138C9" w14:textId="309A2C87" w:rsidR="00961584" w:rsidRPr="00E06766" w:rsidRDefault="00961584" w:rsidP="00E06766">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Pr="00522C2D">
        <w:rPr>
          <w:rFonts w:ascii="Calibri" w:eastAsia="Times New Roman" w:hAnsi="Calibri" w:cs="Times New Roman"/>
          <w:b/>
          <w:kern w:val="0"/>
          <w:lang w:eastAsia="es-MX"/>
          <w14:ligatures w14:val="none"/>
        </w:rPr>
        <w:t>ota: La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partida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adjudicada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deberá ser entregada</w:t>
      </w:r>
      <w:r>
        <w:rPr>
          <w:rFonts w:ascii="Calibri" w:eastAsia="Times New Roman" w:hAnsi="Calibri" w:cs="Times New Roman"/>
          <w:b/>
          <w:kern w:val="0"/>
          <w:lang w:eastAsia="es-MX"/>
          <w14:ligatures w14:val="none"/>
        </w:rPr>
        <w:t>s</w:t>
      </w:r>
      <w:r w:rsidRPr="00522C2D">
        <w:rPr>
          <w:rFonts w:ascii="Calibri" w:eastAsia="Times New Roman" w:hAnsi="Calibri" w:cs="Times New Roman"/>
          <w:b/>
          <w:kern w:val="0"/>
          <w:lang w:eastAsia="es-MX"/>
          <w14:ligatures w14:val="none"/>
        </w:rPr>
        <w:t xml:space="preserve"> posterior a la entrega de la orden de compra, en un plazo no mayor a </w:t>
      </w:r>
      <w:r>
        <w:rPr>
          <w:rFonts w:ascii="Calibri" w:eastAsia="Times New Roman" w:hAnsi="Calibri" w:cs="Times New Roman"/>
          <w:b/>
          <w:kern w:val="0"/>
          <w:lang w:eastAsia="es-MX"/>
          <w14:ligatures w14:val="none"/>
        </w:rPr>
        <w:t>15</w:t>
      </w:r>
      <w:r w:rsidRPr="00522C2D">
        <w:rPr>
          <w:rFonts w:ascii="Calibri" w:eastAsia="Times New Roman" w:hAnsi="Calibri" w:cs="Times New Roman"/>
          <w:b/>
          <w:kern w:val="0"/>
          <w:lang w:eastAsia="es-MX"/>
          <w14:ligatures w14:val="none"/>
        </w:rPr>
        <w:t xml:space="preserve"> días</w:t>
      </w:r>
      <w:r>
        <w:rPr>
          <w:rFonts w:ascii="Calibri" w:eastAsia="Times New Roman" w:hAnsi="Calibri" w:cs="Times New Roman"/>
          <w:b/>
          <w:kern w:val="0"/>
          <w:lang w:eastAsia="es-MX"/>
          <w14:ligatures w14:val="none"/>
        </w:rPr>
        <w:t xml:space="preserve">, </w:t>
      </w:r>
      <w:r w:rsidRPr="00522C2D">
        <w:rPr>
          <w:rFonts w:ascii="Calibri" w:eastAsia="Times New Roman" w:hAnsi="Calibri" w:cs="Times New Roman"/>
          <w:b/>
          <w:kern w:val="0"/>
          <w:lang w:eastAsia="es-MX"/>
          <w14:ligatures w14:val="none"/>
        </w:rPr>
        <w:t>en el domicilio calle Constitución Oriente no. 157, Int. B, en el Municipio de Tlajomulco de Zúñiga, Jalisco, La compra de lo adjudicado no será mayor de acuerdo con el tope presupuestal del ejercicio en curs</w:t>
      </w:r>
      <w:r>
        <w:rPr>
          <w:rFonts w:ascii="Calibri" w:eastAsia="Times New Roman" w:hAnsi="Calibri" w:cs="Times New Roman"/>
          <w:b/>
          <w:kern w:val="0"/>
          <w:lang w:eastAsia="es-MX"/>
          <w14:ligatures w14:val="none"/>
        </w:rPr>
        <w:t>o.</w:t>
      </w:r>
    </w:p>
    <w:p w14:paraId="2FFB6F63"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5C04E086"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548A9FDF"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35DD3EDF"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3C310323"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4C482B2B"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0DBA38EA"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2069CCD4"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59B8756E"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3EE1F764"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0ECBB20D"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2B0AD31E" w14:textId="77777777" w:rsidR="00CC21C7" w:rsidRDefault="00CC21C7" w:rsidP="005F452A">
      <w:pPr>
        <w:spacing w:after="0" w:line="240" w:lineRule="auto"/>
        <w:rPr>
          <w:rFonts w:ascii="Calibri" w:eastAsia="Times New Roman" w:hAnsi="Calibri" w:cs="Times New Roman"/>
          <w:b/>
          <w:kern w:val="0"/>
          <w:sz w:val="28"/>
          <w:szCs w:val="28"/>
          <w:lang w:eastAsia="es-MX"/>
          <w14:ligatures w14:val="none"/>
        </w:rPr>
      </w:pPr>
    </w:p>
    <w:p w14:paraId="382ED9F5" w14:textId="77777777" w:rsidR="00CC21C7" w:rsidRDefault="00CC21C7" w:rsidP="00961584">
      <w:pPr>
        <w:spacing w:after="0" w:line="240" w:lineRule="auto"/>
        <w:jc w:val="center"/>
        <w:rPr>
          <w:rFonts w:ascii="Calibri" w:eastAsia="Times New Roman" w:hAnsi="Calibri" w:cs="Times New Roman"/>
          <w:b/>
          <w:kern w:val="0"/>
          <w:sz w:val="28"/>
          <w:szCs w:val="28"/>
          <w:lang w:eastAsia="es-MX"/>
          <w14:ligatures w14:val="none"/>
        </w:rPr>
      </w:pPr>
    </w:p>
    <w:p w14:paraId="271C2D46" w14:textId="786C5102" w:rsidR="00961584" w:rsidRPr="00522C2D" w:rsidRDefault="00961584" w:rsidP="00961584">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7F018E06" w14:textId="77777777" w:rsidR="00961584" w:rsidRPr="00522C2D" w:rsidRDefault="00961584" w:rsidP="00961584">
      <w:pPr>
        <w:spacing w:after="0" w:line="240" w:lineRule="auto"/>
        <w:jc w:val="both"/>
        <w:rPr>
          <w:rFonts w:ascii="Calibri" w:eastAsia="Times New Roman" w:hAnsi="Calibri" w:cs="Times New Roman"/>
          <w:b/>
          <w:kern w:val="0"/>
          <w:lang w:eastAsia="es-MX"/>
          <w14:ligatures w14:val="none"/>
        </w:rPr>
      </w:pPr>
    </w:p>
    <w:p w14:paraId="79B273D6" w14:textId="77777777" w:rsidR="00961584" w:rsidRPr="00522C2D" w:rsidRDefault="00961584" w:rsidP="00961584">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4E12DC17"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4492483B"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2.- DEBERÁ presentar la cotización dentro de un sobre cerrado y sellado, mismo que deberá ser depositado en la urna del Órgano Interno de Control ubicado en la calle </w:t>
      </w:r>
      <w:r>
        <w:rPr>
          <w:rFonts w:ascii="Arial" w:eastAsia="Times New Roman" w:hAnsi="Arial" w:cs="Arial"/>
          <w:kern w:val="0"/>
          <w:sz w:val="21"/>
          <w:szCs w:val="21"/>
          <w:lang w:eastAsia="es-MX"/>
          <w14:ligatures w14:val="none"/>
        </w:rPr>
        <w:t xml:space="preserve">Vallarta poniente #59 </w:t>
      </w:r>
      <w:r w:rsidRPr="00522C2D">
        <w:rPr>
          <w:rFonts w:ascii="Arial" w:eastAsia="Times New Roman" w:hAnsi="Arial" w:cs="Arial"/>
          <w:kern w:val="0"/>
          <w:sz w:val="21"/>
          <w:szCs w:val="21"/>
          <w:lang w:eastAsia="es-MX"/>
          <w14:ligatures w14:val="none"/>
        </w:rPr>
        <w:t>en Tlajomulco de Zúñiga, Jalisco; previo registro del día y hora de entrega.</w:t>
      </w:r>
    </w:p>
    <w:p w14:paraId="3AE9CC29"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364A1ABC"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3F06FF8"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4A04567C"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376A146"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1915C62F"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360C50C"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6274649A"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264462E8"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28931488"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2D876C5D"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3F550626"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8.- En la descripción de los bienes, deberán indicar marca y modelo. En bienes y servicios </w:t>
      </w:r>
      <w:r w:rsidRPr="00B80B9E">
        <w:rPr>
          <w:rFonts w:ascii="Arial" w:eastAsia="Times New Roman" w:hAnsi="Arial" w:cs="Arial"/>
          <w:kern w:val="0"/>
          <w:sz w:val="21"/>
          <w:szCs w:val="21"/>
          <w:lang w:eastAsia="es-MX"/>
          <w14:ligatures w14:val="none"/>
        </w:rPr>
        <w:t xml:space="preserve">agregar </w:t>
      </w:r>
      <w:proofErr w:type="spellStart"/>
      <w:r w:rsidRPr="00B80B9E">
        <w:rPr>
          <w:rFonts w:ascii="Arial" w:eastAsia="Times New Roman" w:hAnsi="Arial" w:cs="Arial"/>
          <w:kern w:val="0"/>
          <w:sz w:val="21"/>
          <w:szCs w:val="21"/>
          <w:lang w:eastAsia="es-MX"/>
          <w14:ligatures w14:val="none"/>
        </w:rPr>
        <w:t>curriculum</w:t>
      </w:r>
      <w:proofErr w:type="spellEnd"/>
      <w:r w:rsidRPr="00B80B9E">
        <w:rPr>
          <w:rFonts w:ascii="Arial" w:eastAsia="Times New Roman" w:hAnsi="Arial" w:cs="Arial"/>
          <w:kern w:val="0"/>
          <w:sz w:val="21"/>
          <w:szCs w:val="21"/>
          <w:lang w:eastAsia="es-MX"/>
          <w14:ligatures w14:val="none"/>
        </w:rPr>
        <w:t xml:space="preserve"> del participante</w:t>
      </w:r>
      <w:r>
        <w:rPr>
          <w:rFonts w:ascii="Arial" w:eastAsia="Times New Roman" w:hAnsi="Arial" w:cs="Arial"/>
          <w:kern w:val="0"/>
          <w:sz w:val="21"/>
          <w:szCs w:val="21"/>
          <w:lang w:eastAsia="es-MX"/>
          <w14:ligatures w14:val="none"/>
        </w:rPr>
        <w:t xml:space="preserve"> y </w:t>
      </w:r>
      <w:r w:rsidRPr="00522C2D">
        <w:rPr>
          <w:rFonts w:ascii="Arial" w:eastAsia="Times New Roman" w:hAnsi="Arial" w:cs="Arial"/>
          <w:kern w:val="0"/>
          <w:sz w:val="21"/>
          <w:szCs w:val="21"/>
          <w:lang w:eastAsia="es-MX"/>
          <w14:ligatures w14:val="none"/>
        </w:rPr>
        <w:t>deberá señalar cantidades de los bienes y servicios, precio unitario, subtotal, I.V.A. desglosado o mencionar si el producto es exento de I.V.A. y el gran total.</w:t>
      </w:r>
    </w:p>
    <w:p w14:paraId="3BD9BBE4"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2B09FCBC"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9318925"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3C6729E8"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5CBF7E79"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3963D5F4"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11.- Los licitantes deberán de adjuntar impresión legible y completa </w:t>
      </w:r>
      <w:r w:rsidRPr="00B80B9E">
        <w:rPr>
          <w:rFonts w:ascii="Arial" w:eastAsia="Times New Roman" w:hAnsi="Arial" w:cs="Arial"/>
          <w:kern w:val="0"/>
          <w:sz w:val="21"/>
          <w:szCs w:val="21"/>
          <w:lang w:eastAsia="es-MX"/>
          <w14:ligatures w14:val="none"/>
        </w:rPr>
        <w:t>de identificación con foto vigente del participante</w:t>
      </w:r>
      <w:r>
        <w:rPr>
          <w:rFonts w:ascii="Arial" w:eastAsia="Times New Roman" w:hAnsi="Arial" w:cs="Arial"/>
          <w:kern w:val="0"/>
          <w:sz w:val="21"/>
          <w:szCs w:val="21"/>
          <w:lang w:eastAsia="es-MX"/>
          <w14:ligatures w14:val="none"/>
        </w:rPr>
        <w:t xml:space="preserve"> y</w:t>
      </w:r>
      <w:r w:rsidRPr="00522C2D">
        <w:rPr>
          <w:rFonts w:ascii="Arial" w:eastAsia="Times New Roman" w:hAnsi="Arial" w:cs="Arial"/>
          <w:kern w:val="0"/>
          <w:sz w:val="21"/>
          <w:szCs w:val="21"/>
          <w:lang w:eastAsia="es-MX"/>
          <w14:ligatures w14:val="none"/>
        </w:rPr>
        <w:t xml:space="preserve"> comprobante de domicilio a su nombre con una vigencia de emisión no mayor a 90 días naturales contados a partir de la entrega de las propuestas.</w:t>
      </w:r>
    </w:p>
    <w:p w14:paraId="4613BDFE"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7E6C96A1"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26DBAB21"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5440E894"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59275C91"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5617089B"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4CB20BA8"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657614B4"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7E053413"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28ABB251"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5DE4992D"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25D545B1"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1DF51D3"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6F52B9CE"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53AF0FD8"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DFFB38C"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p>
    <w:p w14:paraId="5597F925" w14:textId="77777777" w:rsidR="00961584" w:rsidRDefault="00961584" w:rsidP="00961584">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423DE0E0" w14:textId="77777777" w:rsidR="00961584" w:rsidRDefault="00961584" w:rsidP="00961584">
      <w:pPr>
        <w:spacing w:after="0" w:line="240" w:lineRule="auto"/>
        <w:jc w:val="both"/>
        <w:rPr>
          <w:rFonts w:ascii="Arial" w:eastAsia="Times New Roman" w:hAnsi="Arial" w:cs="Arial"/>
          <w:kern w:val="0"/>
          <w:sz w:val="21"/>
          <w:szCs w:val="21"/>
          <w:lang w:eastAsia="es-MX"/>
          <w14:ligatures w14:val="none"/>
        </w:rPr>
      </w:pPr>
    </w:p>
    <w:p w14:paraId="5AE8C272" w14:textId="77777777" w:rsidR="00961584" w:rsidRPr="00522C2D" w:rsidRDefault="00961584" w:rsidP="00961584">
      <w:pPr>
        <w:spacing w:after="0" w:line="240" w:lineRule="auto"/>
        <w:jc w:val="both"/>
        <w:rPr>
          <w:rFonts w:ascii="Arial" w:eastAsia="Times New Roman" w:hAnsi="Arial" w:cs="Arial"/>
          <w:kern w:val="0"/>
          <w:sz w:val="21"/>
          <w:szCs w:val="21"/>
          <w:lang w:eastAsia="es-MX"/>
          <w14:ligatures w14:val="none"/>
        </w:rPr>
      </w:pPr>
      <w:r w:rsidRPr="00B80B9E">
        <w:rPr>
          <w:rFonts w:ascii="Arial" w:eastAsia="Times New Roman" w:hAnsi="Arial" w:cs="Arial"/>
          <w:kern w:val="0"/>
          <w:sz w:val="21"/>
          <w:szCs w:val="21"/>
          <w:lang w:eastAsia="es-MX"/>
          <w14:ligatures w14:val="none"/>
        </w:rPr>
        <w:t>18.- En caso de no presentar número de proveedor en la caratula del sobre, el participante DEBERÁ de presentar toda la documentación en impresión legible, que acredite su personalidad, así como las demás antes mencionadas y que estén vigentes.</w:t>
      </w:r>
    </w:p>
    <w:p w14:paraId="2E787DC9" w14:textId="77777777" w:rsidR="00961584" w:rsidRDefault="00961584" w:rsidP="00961584">
      <w:pPr>
        <w:spacing w:after="0" w:line="240" w:lineRule="auto"/>
        <w:jc w:val="both"/>
        <w:rPr>
          <w:rFonts w:ascii="Arial" w:eastAsia="Times New Roman" w:hAnsi="Arial" w:cs="Arial"/>
          <w:kern w:val="0"/>
          <w:sz w:val="21"/>
          <w:szCs w:val="21"/>
          <w:lang w:eastAsia="es-MX"/>
          <w14:ligatures w14:val="none"/>
        </w:rPr>
      </w:pPr>
    </w:p>
    <w:p w14:paraId="0872D424" w14:textId="77777777" w:rsidR="005F452A" w:rsidRDefault="005F452A" w:rsidP="00961584">
      <w:pPr>
        <w:spacing w:after="0" w:line="240" w:lineRule="auto"/>
        <w:jc w:val="both"/>
        <w:rPr>
          <w:rFonts w:ascii="Arial" w:eastAsia="Times New Roman" w:hAnsi="Arial" w:cs="Arial"/>
          <w:kern w:val="0"/>
          <w:sz w:val="21"/>
          <w:szCs w:val="21"/>
          <w:lang w:eastAsia="es-MX"/>
          <w14:ligatures w14:val="none"/>
        </w:rPr>
      </w:pPr>
    </w:p>
    <w:p w14:paraId="379D667B" w14:textId="77777777" w:rsidR="005F452A" w:rsidRDefault="005F452A" w:rsidP="00961584">
      <w:pPr>
        <w:spacing w:after="0" w:line="240" w:lineRule="auto"/>
        <w:jc w:val="both"/>
        <w:rPr>
          <w:rFonts w:ascii="Arial" w:eastAsia="Times New Roman" w:hAnsi="Arial" w:cs="Arial"/>
          <w:kern w:val="0"/>
          <w:sz w:val="21"/>
          <w:szCs w:val="21"/>
          <w:lang w:eastAsia="es-MX"/>
          <w14:ligatures w14:val="none"/>
        </w:rPr>
      </w:pPr>
    </w:p>
    <w:p w14:paraId="0FBE4AA3" w14:textId="77777777" w:rsidR="005F452A" w:rsidRPr="00522C2D" w:rsidRDefault="005F452A" w:rsidP="00961584">
      <w:pPr>
        <w:spacing w:after="0" w:line="240" w:lineRule="auto"/>
        <w:jc w:val="both"/>
        <w:rPr>
          <w:rFonts w:ascii="Arial" w:eastAsia="Times New Roman" w:hAnsi="Arial" w:cs="Arial"/>
          <w:kern w:val="0"/>
          <w:sz w:val="21"/>
          <w:szCs w:val="21"/>
          <w:lang w:eastAsia="es-MX"/>
          <w14:ligatures w14:val="none"/>
        </w:rPr>
      </w:pPr>
    </w:p>
    <w:p w14:paraId="5F7E50D9" w14:textId="77777777" w:rsidR="00961584" w:rsidRPr="00522C2D" w:rsidRDefault="00961584" w:rsidP="00961584">
      <w:pPr>
        <w:spacing w:after="0" w:line="240" w:lineRule="auto"/>
        <w:rPr>
          <w:rFonts w:ascii="Arial" w:eastAsia="Times New Roman" w:hAnsi="Arial" w:cs="Arial"/>
          <w:kern w:val="0"/>
          <w:sz w:val="20"/>
          <w:szCs w:val="20"/>
          <w:lang w:eastAsia="es-MX"/>
          <w14:ligatures w14:val="none"/>
        </w:rPr>
      </w:pPr>
    </w:p>
    <w:p w14:paraId="0BF083F4" w14:textId="77777777" w:rsidR="00961584" w:rsidRPr="00522C2D" w:rsidRDefault="00961584" w:rsidP="00961584">
      <w:pPr>
        <w:spacing w:after="0" w:line="240" w:lineRule="auto"/>
        <w:rPr>
          <w:rFonts w:ascii="Arial" w:eastAsia="Times New Roman" w:hAnsi="Arial" w:cs="Arial"/>
          <w:kern w:val="0"/>
          <w:sz w:val="20"/>
          <w:szCs w:val="20"/>
          <w:lang w:eastAsia="es-MX"/>
          <w14:ligatures w14:val="none"/>
        </w:rPr>
      </w:pPr>
    </w:p>
    <w:p w14:paraId="3292F3AB" w14:textId="77777777" w:rsidR="00961584" w:rsidRPr="00522C2D" w:rsidRDefault="00961584" w:rsidP="00961584">
      <w:pPr>
        <w:spacing w:after="0" w:line="240" w:lineRule="auto"/>
        <w:rPr>
          <w:rFonts w:ascii="Arial" w:eastAsia="Times New Roman" w:hAnsi="Arial" w:cs="Arial"/>
          <w:kern w:val="0"/>
          <w:sz w:val="20"/>
          <w:szCs w:val="20"/>
          <w:lang w:eastAsia="es-MX"/>
          <w14:ligatures w14:val="none"/>
        </w:rPr>
      </w:pPr>
    </w:p>
    <w:p w14:paraId="4A9AC2E8" w14:textId="77777777" w:rsidR="00961584" w:rsidRPr="00522C2D" w:rsidRDefault="00961584" w:rsidP="00961584">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2E342BAE" w14:textId="77777777" w:rsidR="00961584" w:rsidRPr="00522C2D" w:rsidRDefault="00961584" w:rsidP="00961584">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770E6122" w14:textId="77777777" w:rsidR="00961584" w:rsidRDefault="00961584"/>
    <w:sectPr w:rsidR="00961584" w:rsidSect="00986D2C">
      <w:headerReference w:type="default" r:id="rId8"/>
      <w:footerReference w:type="default" r:id="rId9"/>
      <w:pgSz w:w="12240" w:h="15840" w:code="1"/>
      <w:pgMar w:top="1135"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7318A" w14:textId="77777777" w:rsidR="00C24E9F" w:rsidRDefault="00C24E9F" w:rsidP="00743A35">
      <w:pPr>
        <w:spacing w:after="0" w:line="240" w:lineRule="auto"/>
      </w:pPr>
      <w:r>
        <w:separator/>
      </w:r>
    </w:p>
  </w:endnote>
  <w:endnote w:type="continuationSeparator" w:id="0">
    <w:p w14:paraId="14ECCB91" w14:textId="77777777" w:rsidR="00C24E9F" w:rsidRDefault="00C24E9F" w:rsidP="0074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DA3E" w14:textId="05B65AE4" w:rsidR="00CC21C7" w:rsidRDefault="00CC21C7">
    <w:pPr>
      <w:pStyle w:val="Piedepgina"/>
    </w:pPr>
    <w:r w:rsidRPr="00CC21C7">
      <w:rPr>
        <w:rFonts w:ascii="Calibri" w:eastAsia="Times New Roman" w:hAnsi="Calibri" w:cs="Times New Roman"/>
        <w:noProof/>
        <w:kern w:val="0"/>
        <w:lang w:eastAsia="es-MX"/>
        <w14:ligatures w14:val="none"/>
      </w:rPr>
      <w:drawing>
        <wp:anchor distT="0" distB="0" distL="114300" distR="114300" simplePos="0" relativeHeight="251662336" behindDoc="1" locked="0" layoutInCell="1" allowOverlap="1" wp14:anchorId="3FC99A32" wp14:editId="19E10C15">
          <wp:simplePos x="0" y="0"/>
          <wp:positionH relativeFrom="page">
            <wp:posOffset>-295275</wp:posOffset>
          </wp:positionH>
          <wp:positionV relativeFrom="paragraph">
            <wp:posOffset>-99060</wp:posOffset>
          </wp:positionV>
          <wp:extent cx="8494395" cy="707390"/>
          <wp:effectExtent l="0" t="0" r="0" b="0"/>
          <wp:wrapNone/>
          <wp:docPr id="506335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59B7" w14:textId="77777777" w:rsidR="00C24E9F" w:rsidRDefault="00C24E9F" w:rsidP="00743A35">
      <w:pPr>
        <w:spacing w:after="0" w:line="240" w:lineRule="auto"/>
      </w:pPr>
      <w:r>
        <w:separator/>
      </w:r>
    </w:p>
  </w:footnote>
  <w:footnote w:type="continuationSeparator" w:id="0">
    <w:p w14:paraId="7A3589AF" w14:textId="77777777" w:rsidR="00C24E9F" w:rsidRDefault="00C24E9F" w:rsidP="0074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05BA" w14:textId="63F266A3" w:rsidR="00CC21C7" w:rsidRPr="00006514" w:rsidRDefault="00CC21C7" w:rsidP="00CC21C7">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59264" behindDoc="1" locked="0" layoutInCell="1" allowOverlap="1" wp14:anchorId="10DC2DD2" wp14:editId="637DE5DA">
          <wp:simplePos x="0" y="0"/>
          <wp:positionH relativeFrom="column">
            <wp:posOffset>-967740</wp:posOffset>
          </wp:positionH>
          <wp:positionV relativeFrom="paragraph">
            <wp:posOffset>-292735</wp:posOffset>
          </wp:positionV>
          <wp:extent cx="1621790" cy="670560"/>
          <wp:effectExtent l="0" t="0" r="0" b="0"/>
          <wp:wrapNone/>
          <wp:docPr id="546905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008143DC" wp14:editId="005522C1">
          <wp:simplePos x="0" y="0"/>
          <wp:positionH relativeFrom="page">
            <wp:posOffset>6224270</wp:posOffset>
          </wp:positionH>
          <wp:positionV relativeFrom="paragraph">
            <wp:posOffset>-383289</wp:posOffset>
          </wp:positionV>
          <wp:extent cx="1264034" cy="828675"/>
          <wp:effectExtent l="0" t="0" r="0" b="0"/>
          <wp:wrapNone/>
          <wp:docPr id="12549074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034" cy="828675"/>
                  </a:xfrm>
                  <a:prstGeom prst="rect">
                    <a:avLst/>
                  </a:prstGeom>
                  <a:noFill/>
                </pic:spPr>
              </pic:pic>
            </a:graphicData>
          </a:graphic>
          <wp14:sizeRelH relativeFrom="page">
            <wp14:pctWidth>0</wp14:pctWidth>
          </wp14:sizeRelH>
          <wp14:sizeRelV relativeFrom="page">
            <wp14:pctHeight>0</wp14:pctHeight>
          </wp14:sizeRelV>
        </wp:anchor>
      </w:drawing>
    </w:r>
  </w:p>
  <w:p w14:paraId="3C889ABF" w14:textId="77777777" w:rsidR="00CC21C7" w:rsidRPr="00006514" w:rsidRDefault="00CC21C7" w:rsidP="00CC21C7">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5FA5539F" w14:textId="77777777" w:rsidR="00CC21C7" w:rsidRPr="00006514" w:rsidRDefault="00CC21C7" w:rsidP="00CC21C7">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195DBB51" w14:textId="0EFDDBAA" w:rsidR="00CC21C7" w:rsidRPr="00CC21C7" w:rsidRDefault="00CC21C7" w:rsidP="00CC21C7">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BA5"/>
    <w:multiLevelType w:val="multilevel"/>
    <w:tmpl w:val="DA92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636E3"/>
    <w:multiLevelType w:val="multilevel"/>
    <w:tmpl w:val="A27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4299"/>
    <w:multiLevelType w:val="multilevel"/>
    <w:tmpl w:val="5FDA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C4578"/>
    <w:multiLevelType w:val="multilevel"/>
    <w:tmpl w:val="9148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11F30"/>
    <w:multiLevelType w:val="multilevel"/>
    <w:tmpl w:val="5CA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664759">
    <w:abstractNumId w:val="1"/>
  </w:num>
  <w:num w:numId="2" w16cid:durableId="807206948">
    <w:abstractNumId w:val="0"/>
  </w:num>
  <w:num w:numId="3" w16cid:durableId="1016080413">
    <w:abstractNumId w:val="2"/>
  </w:num>
  <w:num w:numId="4" w16cid:durableId="1028794939">
    <w:abstractNumId w:val="4"/>
  </w:num>
  <w:num w:numId="5" w16cid:durableId="1219635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4"/>
    <w:rsid w:val="000B2EB8"/>
    <w:rsid w:val="002730D1"/>
    <w:rsid w:val="00306DD3"/>
    <w:rsid w:val="003338D8"/>
    <w:rsid w:val="005F452A"/>
    <w:rsid w:val="006B639A"/>
    <w:rsid w:val="00743A35"/>
    <w:rsid w:val="008545CE"/>
    <w:rsid w:val="008A2AEF"/>
    <w:rsid w:val="00961584"/>
    <w:rsid w:val="00986D2C"/>
    <w:rsid w:val="00993CA7"/>
    <w:rsid w:val="00AB4804"/>
    <w:rsid w:val="00B5693A"/>
    <w:rsid w:val="00C176E7"/>
    <w:rsid w:val="00C24E9F"/>
    <w:rsid w:val="00CC21C7"/>
    <w:rsid w:val="00CC3168"/>
    <w:rsid w:val="00E06766"/>
    <w:rsid w:val="00E37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10B9"/>
  <w15:chartTrackingRefBased/>
  <w15:docId w15:val="{CEE0F1FB-20D1-4BF7-8B7B-A7D6542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584"/>
    <w:pPr>
      <w:spacing w:line="259" w:lineRule="auto"/>
    </w:pPr>
    <w:rPr>
      <w:sz w:val="22"/>
      <w:szCs w:val="22"/>
      <w:lang w:val="es-MX"/>
    </w:rPr>
  </w:style>
  <w:style w:type="paragraph" w:styleId="Ttulo1">
    <w:name w:val="heading 1"/>
    <w:basedOn w:val="Normal"/>
    <w:next w:val="Normal"/>
    <w:link w:val="Ttulo1Car"/>
    <w:uiPriority w:val="9"/>
    <w:qFormat/>
    <w:rsid w:val="00961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61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6158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6158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6158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615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15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15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15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158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6158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6158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6158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6158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615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15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15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1584"/>
    <w:rPr>
      <w:rFonts w:eastAsiaTheme="majorEastAsia" w:cstheme="majorBidi"/>
      <w:color w:val="272727" w:themeColor="text1" w:themeTint="D8"/>
    </w:rPr>
  </w:style>
  <w:style w:type="paragraph" w:styleId="Ttulo">
    <w:name w:val="Title"/>
    <w:basedOn w:val="Normal"/>
    <w:next w:val="Normal"/>
    <w:link w:val="TtuloCar"/>
    <w:uiPriority w:val="10"/>
    <w:qFormat/>
    <w:rsid w:val="0096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5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15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15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1584"/>
    <w:pPr>
      <w:spacing w:before="160"/>
      <w:jc w:val="center"/>
    </w:pPr>
    <w:rPr>
      <w:i/>
      <w:iCs/>
      <w:color w:val="404040" w:themeColor="text1" w:themeTint="BF"/>
    </w:rPr>
  </w:style>
  <w:style w:type="character" w:customStyle="1" w:styleId="CitaCar">
    <w:name w:val="Cita Car"/>
    <w:basedOn w:val="Fuentedeprrafopredeter"/>
    <w:link w:val="Cita"/>
    <w:uiPriority w:val="29"/>
    <w:rsid w:val="00961584"/>
    <w:rPr>
      <w:i/>
      <w:iCs/>
      <w:color w:val="404040" w:themeColor="text1" w:themeTint="BF"/>
    </w:rPr>
  </w:style>
  <w:style w:type="paragraph" w:styleId="Prrafodelista">
    <w:name w:val="List Paragraph"/>
    <w:basedOn w:val="Normal"/>
    <w:uiPriority w:val="34"/>
    <w:qFormat/>
    <w:rsid w:val="00961584"/>
    <w:pPr>
      <w:ind w:left="720"/>
      <w:contextualSpacing/>
    </w:pPr>
  </w:style>
  <w:style w:type="character" w:styleId="nfasisintenso">
    <w:name w:val="Intense Emphasis"/>
    <w:basedOn w:val="Fuentedeprrafopredeter"/>
    <w:uiPriority w:val="21"/>
    <w:qFormat/>
    <w:rsid w:val="00961584"/>
    <w:rPr>
      <w:i/>
      <w:iCs/>
      <w:color w:val="2F5496" w:themeColor="accent1" w:themeShade="BF"/>
    </w:rPr>
  </w:style>
  <w:style w:type="paragraph" w:styleId="Citadestacada">
    <w:name w:val="Intense Quote"/>
    <w:basedOn w:val="Normal"/>
    <w:next w:val="Normal"/>
    <w:link w:val="CitadestacadaCar"/>
    <w:uiPriority w:val="30"/>
    <w:qFormat/>
    <w:rsid w:val="0096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61584"/>
    <w:rPr>
      <w:i/>
      <w:iCs/>
      <w:color w:val="2F5496" w:themeColor="accent1" w:themeShade="BF"/>
    </w:rPr>
  </w:style>
  <w:style w:type="character" w:styleId="Referenciaintensa">
    <w:name w:val="Intense Reference"/>
    <w:basedOn w:val="Fuentedeprrafopredeter"/>
    <w:uiPriority w:val="32"/>
    <w:qFormat/>
    <w:rsid w:val="00961584"/>
    <w:rPr>
      <w:b/>
      <w:bCs/>
      <w:smallCaps/>
      <w:color w:val="2F5496" w:themeColor="accent1" w:themeShade="BF"/>
      <w:spacing w:val="5"/>
    </w:rPr>
  </w:style>
  <w:style w:type="table" w:customStyle="1" w:styleId="Tablaconcuadrcula1">
    <w:name w:val="Tabla con cuadrícula1"/>
    <w:basedOn w:val="Tablanormal"/>
    <w:next w:val="Tablaconcuadrcula"/>
    <w:uiPriority w:val="39"/>
    <w:rsid w:val="00961584"/>
    <w:pPr>
      <w:spacing w:after="0" w:line="240" w:lineRule="auto"/>
    </w:pPr>
    <w:rPr>
      <w:kern w:val="0"/>
      <w:sz w:val="22"/>
      <w:szCs w:val="22"/>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1584"/>
    <w:pPr>
      <w:widowControl w:val="0"/>
      <w:autoSpaceDE w:val="0"/>
      <w:autoSpaceDN w:val="0"/>
      <w:spacing w:after="0" w:line="240" w:lineRule="auto"/>
    </w:pPr>
    <w:rPr>
      <w:rFonts w:ascii="Calibri" w:eastAsia="Calibri" w:hAnsi="Calibri" w:cs="Calibri"/>
      <w:kern w:val="0"/>
      <w:sz w:val="22"/>
      <w:szCs w:val="22"/>
      <w14:ligatures w14:val="none"/>
    </w:rPr>
  </w:style>
  <w:style w:type="table" w:styleId="Tablaconcuadrcula">
    <w:name w:val="Table Grid"/>
    <w:basedOn w:val="Tablanormal"/>
    <w:uiPriority w:val="39"/>
    <w:rsid w:val="0096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3A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A35"/>
    <w:rPr>
      <w:sz w:val="22"/>
      <w:szCs w:val="22"/>
      <w:lang w:val="es-MX"/>
    </w:rPr>
  </w:style>
  <w:style w:type="paragraph" w:styleId="Piedepgina">
    <w:name w:val="footer"/>
    <w:basedOn w:val="Normal"/>
    <w:link w:val="PiedepginaCar"/>
    <w:uiPriority w:val="99"/>
    <w:unhideWhenUsed/>
    <w:rsid w:val="00743A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A35"/>
    <w:rPr>
      <w:sz w:val="22"/>
      <w:szCs w:val="22"/>
      <w:lang w:val="es-MX"/>
    </w:rPr>
  </w:style>
  <w:style w:type="table" w:customStyle="1" w:styleId="Tablaconcuadrcula2">
    <w:name w:val="Tabla con cuadrícula2"/>
    <w:basedOn w:val="Tablanormal"/>
    <w:next w:val="Tablaconcuadrcula"/>
    <w:uiPriority w:val="59"/>
    <w:rsid w:val="005F452A"/>
    <w:pPr>
      <w:spacing w:after="0" w:line="240" w:lineRule="auto"/>
    </w:pPr>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F91A-AC76-4D32-A3EF-BE3D5E7B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2172</Words>
  <Characters>11948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Alejandre</dc:creator>
  <cp:keywords/>
  <dc:description/>
  <cp:lastModifiedBy>Comude Tlajomulco</cp:lastModifiedBy>
  <cp:revision>4</cp:revision>
  <cp:lastPrinted>2025-08-15T16:43:00Z</cp:lastPrinted>
  <dcterms:created xsi:type="dcterms:W3CDTF">2025-08-12T20:57:00Z</dcterms:created>
  <dcterms:modified xsi:type="dcterms:W3CDTF">2025-08-15T19:37:00Z</dcterms:modified>
</cp:coreProperties>
</file>